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16DFE" w14:textId="468138B4" w:rsidR="007A5D72" w:rsidRDefault="002550E4" w:rsidP="00CC1D11">
      <w:r>
        <w:rPr>
          <w:noProof/>
        </w:rPr>
        <w:drawing>
          <wp:anchor distT="0" distB="0" distL="114300" distR="114300" simplePos="0" relativeHeight="251661312" behindDoc="0" locked="0" layoutInCell="1" allowOverlap="1" wp14:anchorId="3DC9E74C" wp14:editId="595E8CAE">
            <wp:simplePos x="0" y="0"/>
            <wp:positionH relativeFrom="column">
              <wp:posOffset>2067161</wp:posOffset>
            </wp:positionH>
            <wp:positionV relativeFrom="paragraph">
              <wp:posOffset>-326390</wp:posOffset>
            </wp:positionV>
            <wp:extent cx="1428750" cy="619125"/>
            <wp:effectExtent l="0" t="0" r="6350" b="3175"/>
            <wp:wrapNone/>
            <wp:docPr id="18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D96785" wp14:editId="7F7326E4">
            <wp:simplePos x="0" y="0"/>
            <wp:positionH relativeFrom="column">
              <wp:posOffset>4182007</wp:posOffset>
            </wp:positionH>
            <wp:positionV relativeFrom="paragraph">
              <wp:posOffset>-325120</wp:posOffset>
            </wp:positionV>
            <wp:extent cx="1474766" cy="688268"/>
            <wp:effectExtent l="0" t="0" r="0" b="0"/>
            <wp:wrapNone/>
            <wp:docPr id="17" name="Image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4766" cy="68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6B91262" wp14:editId="3C998313">
            <wp:simplePos x="0" y="0"/>
            <wp:positionH relativeFrom="column">
              <wp:posOffset>0</wp:posOffset>
            </wp:positionH>
            <wp:positionV relativeFrom="paragraph">
              <wp:posOffset>-691116</wp:posOffset>
            </wp:positionV>
            <wp:extent cx="1471930" cy="1471930"/>
            <wp:effectExtent l="0" t="0" r="0" b="0"/>
            <wp:wrapNone/>
            <wp:docPr id="16" name="Image 8" descr="Une image contenant Graphique, Police, logo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8" descr="Une image contenant Graphique, Police, logo, symbo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096F3" w14:textId="77777777" w:rsidR="002550E4" w:rsidRDefault="002550E4">
      <w:pPr>
        <w:jc w:val="center"/>
        <w:rPr>
          <w:b/>
        </w:rPr>
      </w:pPr>
    </w:p>
    <w:p w14:paraId="0AB942C2" w14:textId="77777777" w:rsidR="002550E4" w:rsidRDefault="002550E4">
      <w:pPr>
        <w:jc w:val="center"/>
        <w:rPr>
          <w:b/>
        </w:rPr>
      </w:pPr>
    </w:p>
    <w:p w14:paraId="6830CB14" w14:textId="77777777" w:rsidR="002550E4" w:rsidRDefault="002550E4">
      <w:pPr>
        <w:jc w:val="center"/>
        <w:rPr>
          <w:b/>
        </w:rPr>
      </w:pPr>
    </w:p>
    <w:p w14:paraId="610F960B" w14:textId="77777777" w:rsidR="00BC0DEF" w:rsidRDefault="0094704A">
      <w:pPr>
        <w:jc w:val="center"/>
        <w:rPr>
          <w:b/>
        </w:rPr>
      </w:pPr>
      <w:r>
        <w:rPr>
          <w:b/>
        </w:rPr>
        <w:t>Objet : Proposition</w:t>
      </w:r>
      <w:r w:rsidR="00CC1D11">
        <w:rPr>
          <w:b/>
        </w:rPr>
        <w:t>s</w:t>
      </w:r>
      <w:r>
        <w:rPr>
          <w:b/>
        </w:rPr>
        <w:t xml:space="preserve"> de la FeBISP</w:t>
      </w:r>
      <w:r w:rsidR="00BC0DEF">
        <w:rPr>
          <w:b/>
        </w:rPr>
        <w:t xml:space="preserve">, de FeBIO et de Tracé Brussel </w:t>
      </w:r>
    </w:p>
    <w:p w14:paraId="35E57FBE" w14:textId="49A88553" w:rsidR="007A5D72" w:rsidRPr="009A43D4" w:rsidRDefault="00CC1D11">
      <w:pPr>
        <w:jc w:val="center"/>
        <w:rPr>
          <w:b/>
          <w:strike/>
        </w:rPr>
      </w:pPr>
      <w:r>
        <w:rPr>
          <w:b/>
        </w:rPr>
        <w:t>relative</w:t>
      </w:r>
      <w:r w:rsidR="00BC0DEF">
        <w:rPr>
          <w:b/>
        </w:rPr>
        <w:t>s</w:t>
      </w:r>
      <w:r>
        <w:rPr>
          <w:b/>
        </w:rPr>
        <w:t xml:space="preserve"> aux accords sur non marchand pour le secteur de l’économie sociale d’insertion</w:t>
      </w:r>
    </w:p>
    <w:p w14:paraId="40626707" w14:textId="77777777" w:rsidR="007A5D72" w:rsidRDefault="007A5D72">
      <w:pPr>
        <w:tabs>
          <w:tab w:val="left" w:pos="3544"/>
        </w:tabs>
        <w:ind w:left="3686"/>
      </w:pPr>
    </w:p>
    <w:p w14:paraId="0BA12AF9" w14:textId="496C2A4C" w:rsidR="00CC1D11" w:rsidRDefault="0094704A">
      <w:pPr>
        <w:spacing w:before="0" w:after="0"/>
        <w:ind w:left="284" w:hanging="284"/>
      </w:pPr>
      <w:r>
        <w:t xml:space="preserve">Date : </w:t>
      </w:r>
      <w:r w:rsidR="00CC1D11">
        <w:t>1</w:t>
      </w:r>
      <w:r w:rsidR="00024CE6">
        <w:t>5</w:t>
      </w:r>
      <w:r w:rsidR="00CC1D11">
        <w:t xml:space="preserve"> septembre 2023</w:t>
      </w:r>
    </w:p>
    <w:p w14:paraId="784F28C4" w14:textId="6396A86C" w:rsidR="007A5D72" w:rsidRDefault="0094704A">
      <w:pPr>
        <w:spacing w:before="0" w:after="0"/>
        <w:ind w:left="284" w:hanging="284"/>
      </w:pPr>
      <w:r>
        <w:t xml:space="preserve">À : </w:t>
      </w:r>
      <w:r w:rsidR="00F54A11">
        <w:t>Comité tripartite</w:t>
      </w:r>
    </w:p>
    <w:p w14:paraId="012F9F35" w14:textId="77777777" w:rsidR="007A5D72" w:rsidRDefault="007A5D72">
      <w:pPr>
        <w:ind w:right="140"/>
      </w:pPr>
    </w:p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6"/>
      </w:tblGrid>
      <w:tr w:rsidR="007A5D72" w14:paraId="3809B6A7" w14:textId="77777777">
        <w:tc>
          <w:tcPr>
            <w:tcW w:w="9056" w:type="dxa"/>
          </w:tcPr>
          <w:p w14:paraId="1AFB5C1E" w14:textId="2B5306E3" w:rsidR="007A5D72" w:rsidRDefault="0094704A">
            <w:pPr>
              <w:ind w:right="140"/>
              <w:rPr>
                <w:u w:val="single"/>
              </w:rPr>
            </w:pPr>
            <w:r>
              <w:rPr>
                <w:u w:val="single"/>
              </w:rPr>
              <w:t>Objectif de la note</w:t>
            </w:r>
            <w:r w:rsidRPr="00CC1D11">
              <w:t> :</w:t>
            </w:r>
            <w:r>
              <w:t xml:space="preserve"> </w:t>
            </w:r>
            <w:r w:rsidR="00CC1D11">
              <w:t>Proposer un périmètre et une répartition budgétaire pour l’</w:t>
            </w:r>
            <w:r>
              <w:t>ANM 2021/</w:t>
            </w:r>
            <w:r w:rsidR="00CC1D11">
              <w:t>20</w:t>
            </w:r>
            <w:r>
              <w:t xml:space="preserve">24 </w:t>
            </w:r>
            <w:r w:rsidR="00CC1D11">
              <w:t>spécifique au secteur de l’économie sociale d’insertion</w:t>
            </w:r>
            <w:r w:rsidR="00BC0DEF">
              <w:t xml:space="preserve"> bruxellois</w:t>
            </w:r>
            <w:r w:rsidR="00CC1D11">
              <w:t>.</w:t>
            </w:r>
          </w:p>
        </w:tc>
      </w:tr>
    </w:tbl>
    <w:p w14:paraId="410EC05A" w14:textId="1B53BC17" w:rsidR="00675C17" w:rsidRPr="00675C17" w:rsidRDefault="00C35175" w:rsidP="00675C17">
      <w:pPr>
        <w:pStyle w:val="Kop1"/>
      </w:pPr>
      <w:r>
        <w:t>Le cadre</w:t>
      </w:r>
      <w:r w:rsidR="00675C17">
        <w:t xml:space="preserve"> ANM ESMI</w:t>
      </w:r>
    </w:p>
    <w:p w14:paraId="4707C353" w14:textId="79FCF526" w:rsidR="007A5D72" w:rsidRPr="00BC0DEF" w:rsidRDefault="0094704A">
      <w:pPr>
        <w:rPr>
          <w:color w:val="000000" w:themeColor="text1"/>
        </w:rPr>
      </w:pPr>
      <w:r w:rsidRPr="00250E9C">
        <w:rPr>
          <w:b/>
          <w:color w:val="000000" w:themeColor="text1"/>
        </w:rPr>
        <w:t xml:space="preserve">Les </w:t>
      </w:r>
      <w:r w:rsidR="00753930" w:rsidRPr="00250E9C">
        <w:rPr>
          <w:b/>
          <w:color w:val="000000" w:themeColor="text1"/>
        </w:rPr>
        <w:t>Accords du secteur non-marchand (ANM)</w:t>
      </w:r>
      <w:r w:rsidRPr="00250E9C">
        <w:rPr>
          <w:b/>
          <w:color w:val="000000" w:themeColor="text1"/>
        </w:rPr>
        <w:t xml:space="preserve"> 2021/2024</w:t>
      </w:r>
      <w:r w:rsidRPr="00250E9C">
        <w:rPr>
          <w:color w:val="000000" w:themeColor="text1"/>
        </w:rPr>
        <w:t xml:space="preserve"> ont été conclus entre </w:t>
      </w:r>
      <w:r w:rsidR="009A43D4" w:rsidRPr="00250E9C">
        <w:rPr>
          <w:color w:val="000000" w:themeColor="text1"/>
        </w:rPr>
        <w:t xml:space="preserve">la </w:t>
      </w:r>
      <w:r w:rsidRPr="00250E9C">
        <w:rPr>
          <w:color w:val="000000" w:themeColor="text1"/>
        </w:rPr>
        <w:t>COCOF</w:t>
      </w:r>
      <w:r w:rsidR="009A43D4" w:rsidRPr="00250E9C">
        <w:rPr>
          <w:color w:val="000000" w:themeColor="text1"/>
        </w:rPr>
        <w:t xml:space="preserve">, la </w:t>
      </w:r>
      <w:r w:rsidRPr="00BC0DEF">
        <w:rPr>
          <w:color w:val="000000" w:themeColor="text1"/>
        </w:rPr>
        <w:t>COCOM</w:t>
      </w:r>
      <w:r w:rsidR="009A43D4" w:rsidRPr="00BC0DEF">
        <w:rPr>
          <w:color w:val="000000" w:themeColor="text1"/>
        </w:rPr>
        <w:t xml:space="preserve">, le </w:t>
      </w:r>
      <w:r w:rsidRPr="00BC0DEF">
        <w:rPr>
          <w:color w:val="000000" w:themeColor="text1"/>
        </w:rPr>
        <w:t>G</w:t>
      </w:r>
      <w:r w:rsidR="009A43D4" w:rsidRPr="00BC0DEF">
        <w:rPr>
          <w:color w:val="000000" w:themeColor="text1"/>
        </w:rPr>
        <w:t xml:space="preserve">ouvernement </w:t>
      </w:r>
      <w:r w:rsidRPr="00BC0DEF">
        <w:rPr>
          <w:color w:val="000000" w:themeColor="text1"/>
        </w:rPr>
        <w:t xml:space="preserve">de la </w:t>
      </w:r>
      <w:r w:rsidR="009A43D4" w:rsidRPr="00BC0DEF">
        <w:rPr>
          <w:color w:val="000000" w:themeColor="text1"/>
        </w:rPr>
        <w:t>région Bruxelles-Capitale</w:t>
      </w:r>
      <w:r w:rsidRPr="00BC0DEF">
        <w:rPr>
          <w:color w:val="000000" w:themeColor="text1"/>
        </w:rPr>
        <w:t xml:space="preserve">, </w:t>
      </w:r>
      <w:r w:rsidR="009A43D4" w:rsidRPr="00BC0DEF">
        <w:rPr>
          <w:color w:val="000000" w:themeColor="text1"/>
        </w:rPr>
        <w:t xml:space="preserve">les </w:t>
      </w:r>
      <w:r w:rsidRPr="00BC0DEF">
        <w:rPr>
          <w:color w:val="000000" w:themeColor="text1"/>
        </w:rPr>
        <w:t xml:space="preserve">représentants des travailleurs et </w:t>
      </w:r>
      <w:r w:rsidR="009A43D4" w:rsidRPr="00BC0DEF">
        <w:rPr>
          <w:color w:val="000000" w:themeColor="text1"/>
        </w:rPr>
        <w:t xml:space="preserve">les </w:t>
      </w:r>
      <w:r w:rsidRPr="00BC0DEF">
        <w:rPr>
          <w:color w:val="000000" w:themeColor="text1"/>
        </w:rPr>
        <w:t>représentants des employeurs</w:t>
      </w:r>
      <w:r w:rsidR="00F54A11">
        <w:rPr>
          <w:color w:val="000000" w:themeColor="text1"/>
        </w:rPr>
        <w:t>.</w:t>
      </w:r>
    </w:p>
    <w:p w14:paraId="0FDD1AB3" w14:textId="027C4F40" w:rsidR="007A5D72" w:rsidRPr="00BC0DEF" w:rsidRDefault="0094704A">
      <w:pPr>
        <w:rPr>
          <w:color w:val="000000" w:themeColor="text1"/>
        </w:rPr>
      </w:pPr>
      <w:r w:rsidRPr="00BC0DEF">
        <w:rPr>
          <w:color w:val="000000" w:themeColor="text1"/>
        </w:rPr>
        <w:t xml:space="preserve">Le texte stipule : « Compte tenu de la complexité du dispositif </w:t>
      </w:r>
      <w:r w:rsidR="00F447C1" w:rsidRPr="00BC0DEF">
        <w:rPr>
          <w:color w:val="000000" w:themeColor="text1"/>
        </w:rPr>
        <w:t xml:space="preserve">dit </w:t>
      </w:r>
      <w:r w:rsidRPr="00BC0DEF">
        <w:rPr>
          <w:color w:val="000000" w:themeColor="text1"/>
        </w:rPr>
        <w:t>« ESMI</w:t>
      </w:r>
      <w:r w:rsidRPr="00BC0DEF">
        <w:rPr>
          <w:color w:val="000000" w:themeColor="text1"/>
          <w:vertAlign w:val="superscript"/>
        </w:rPr>
        <w:footnoteReference w:id="1"/>
      </w:r>
      <w:r w:rsidRPr="00BC0DEF">
        <w:rPr>
          <w:color w:val="000000" w:themeColor="text1"/>
        </w:rPr>
        <w:t xml:space="preserve"> », une discussion sur l’intégration des travailleurs des ASBL effectuant des missions relatives à l’économie sociale d’insertion sera poursuivie en 2022 pour envisager des mesures spécifiques au regard de l’enveloppe disponible (400 000 euros </w:t>
      </w:r>
      <w:r w:rsidR="002550E4" w:rsidRPr="00BC0DEF">
        <w:rPr>
          <w:color w:val="000000" w:themeColor="text1"/>
        </w:rPr>
        <w:t>« </w:t>
      </w:r>
      <w:r w:rsidR="00F447C1" w:rsidRPr="00BC0DEF">
        <w:rPr>
          <w:color w:val="000000" w:themeColor="text1"/>
        </w:rPr>
        <w:t xml:space="preserve">Attractivité » </w:t>
      </w:r>
      <w:r w:rsidRPr="00BC0DEF">
        <w:rPr>
          <w:color w:val="000000" w:themeColor="text1"/>
        </w:rPr>
        <w:t xml:space="preserve">+ 100 000 euros </w:t>
      </w:r>
      <w:r w:rsidR="00F447C1" w:rsidRPr="00BC0DEF">
        <w:rPr>
          <w:color w:val="000000" w:themeColor="text1"/>
        </w:rPr>
        <w:t>«</w:t>
      </w:r>
      <w:r w:rsidR="00EF781F">
        <w:rPr>
          <w:color w:val="000000" w:themeColor="text1"/>
        </w:rPr>
        <w:t xml:space="preserve"> </w:t>
      </w:r>
      <w:r w:rsidR="00F54A11">
        <w:rPr>
          <w:color w:val="000000" w:themeColor="text1"/>
        </w:rPr>
        <w:t>M</w:t>
      </w:r>
      <w:r w:rsidRPr="00BC0DEF">
        <w:rPr>
          <w:color w:val="000000" w:themeColor="text1"/>
        </w:rPr>
        <w:t>obilité</w:t>
      </w:r>
      <w:r w:rsidR="00F447C1" w:rsidRPr="00BC0DEF">
        <w:rPr>
          <w:color w:val="000000" w:themeColor="text1"/>
        </w:rPr>
        <w:t> »</w:t>
      </w:r>
      <w:r w:rsidR="001053A8">
        <w:rPr>
          <w:color w:val="000000" w:themeColor="text1"/>
        </w:rPr>
        <w:t>)</w:t>
      </w:r>
      <w:r w:rsidR="00A6342F" w:rsidRPr="00BC0DEF">
        <w:rPr>
          <w:rStyle w:val="Voetnootmarkering"/>
          <w:color w:val="000000" w:themeColor="text1"/>
        </w:rPr>
        <w:footnoteReference w:id="2"/>
      </w:r>
      <w:r w:rsidRPr="00BC0DEF">
        <w:rPr>
          <w:color w:val="000000" w:themeColor="text1"/>
        </w:rPr>
        <w:t>. </w:t>
      </w:r>
    </w:p>
    <w:p w14:paraId="30560CCF" w14:textId="5E7196E8" w:rsidR="007A5D72" w:rsidRPr="00A6342F" w:rsidRDefault="00285251">
      <w:pPr>
        <w:rPr>
          <w:color w:val="000000" w:themeColor="text1"/>
        </w:rPr>
      </w:pPr>
      <w:r w:rsidRPr="00BC0DEF">
        <w:rPr>
          <w:bCs/>
          <w:color w:val="000000" w:themeColor="text1"/>
        </w:rPr>
        <w:t>En effet,</w:t>
      </w:r>
      <w:r w:rsidRPr="00BC0DEF">
        <w:rPr>
          <w:b/>
          <w:color w:val="000000" w:themeColor="text1"/>
        </w:rPr>
        <w:t xml:space="preserve"> pour le secteur de</w:t>
      </w:r>
      <w:r w:rsidR="00EF781F">
        <w:rPr>
          <w:b/>
          <w:color w:val="000000" w:themeColor="text1"/>
        </w:rPr>
        <w:t xml:space="preserve"> </w:t>
      </w:r>
      <w:r w:rsidRPr="00BC0DEF">
        <w:rPr>
          <w:b/>
          <w:color w:val="000000" w:themeColor="text1"/>
        </w:rPr>
        <w:t>l’ESMI</w:t>
      </w:r>
      <w:r w:rsidRPr="00BC0DEF">
        <w:rPr>
          <w:color w:val="000000" w:themeColor="text1"/>
        </w:rPr>
        <w:t xml:space="preserve">, </w:t>
      </w:r>
      <w:r w:rsidRPr="00BC0DEF">
        <w:rPr>
          <w:b/>
          <w:color w:val="000000" w:themeColor="text1"/>
        </w:rPr>
        <w:t>les ANM 2021/2024</w:t>
      </w:r>
      <w:r w:rsidRPr="00BC0DEF">
        <w:rPr>
          <w:color w:val="000000" w:themeColor="text1"/>
        </w:rPr>
        <w:t xml:space="preserve"> </w:t>
      </w:r>
      <w:r w:rsidR="00753930" w:rsidRPr="00BC0DEF">
        <w:rPr>
          <w:color w:val="000000" w:themeColor="text1"/>
        </w:rPr>
        <w:t xml:space="preserve">conclus au niveau de la région Bruxelles Capitale </w:t>
      </w:r>
      <w:r w:rsidRPr="00BC0DEF">
        <w:rPr>
          <w:color w:val="000000" w:themeColor="text1"/>
        </w:rPr>
        <w:t>ne prévoient pas de mesures mais l’ouverture d’une négociation au nouveau sectoriel. Les acteurs de cette négociation sont donc :</w:t>
      </w:r>
    </w:p>
    <w:p w14:paraId="70363B7C" w14:textId="7A70DAEA" w:rsidR="007A5D72" w:rsidRPr="00A6342F" w:rsidRDefault="009A43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ahoma"/>
          <w:color w:val="000000" w:themeColor="text1"/>
        </w:rPr>
      </w:pPr>
      <w:r w:rsidRPr="00A6342F">
        <w:rPr>
          <w:rFonts w:eastAsia="Tahoma"/>
          <w:color w:val="000000" w:themeColor="text1"/>
        </w:rPr>
        <w:t xml:space="preserve">Les représentants des employeurs de l’ESMI bruxelloise : </w:t>
      </w:r>
      <w:proofErr w:type="spellStart"/>
      <w:r w:rsidRPr="00A6342F">
        <w:rPr>
          <w:rFonts w:eastAsia="Tahoma"/>
          <w:color w:val="000000" w:themeColor="text1"/>
        </w:rPr>
        <w:t>FeBIO</w:t>
      </w:r>
      <w:proofErr w:type="spellEnd"/>
      <w:r w:rsidRPr="00A6342F">
        <w:rPr>
          <w:rFonts w:eastAsia="Tahoma"/>
          <w:color w:val="000000" w:themeColor="text1"/>
        </w:rPr>
        <w:t xml:space="preserve">, </w:t>
      </w:r>
      <w:proofErr w:type="spellStart"/>
      <w:r w:rsidRPr="00F54A11">
        <w:rPr>
          <w:rFonts w:eastAsia="Tahoma"/>
          <w:color w:val="000000" w:themeColor="text1"/>
        </w:rPr>
        <w:t>FeBISP</w:t>
      </w:r>
      <w:proofErr w:type="spellEnd"/>
      <w:r w:rsidRPr="00F54A11">
        <w:rPr>
          <w:rFonts w:eastAsia="Tahoma"/>
          <w:color w:val="000000" w:themeColor="text1"/>
        </w:rPr>
        <w:t xml:space="preserve"> et </w:t>
      </w:r>
      <w:proofErr w:type="spellStart"/>
      <w:r w:rsidRPr="00F54A11">
        <w:rPr>
          <w:rFonts w:eastAsia="Tahoma"/>
          <w:color w:val="000000" w:themeColor="text1"/>
        </w:rPr>
        <w:t>TRAC</w:t>
      </w:r>
      <w:r w:rsidRPr="00F54A11">
        <w:rPr>
          <w:color w:val="000000" w:themeColor="text1"/>
        </w:rPr>
        <w:t>é</w:t>
      </w:r>
      <w:proofErr w:type="spellEnd"/>
      <w:r w:rsidR="00EF781F">
        <w:rPr>
          <w:rFonts w:eastAsia="Tahoma"/>
          <w:color w:val="000000" w:themeColor="text1"/>
        </w:rPr>
        <w:t xml:space="preserve"> </w:t>
      </w:r>
      <w:r w:rsidRPr="00F54A11">
        <w:rPr>
          <w:rFonts w:eastAsia="Tahoma"/>
          <w:color w:val="000000" w:themeColor="text1"/>
        </w:rPr>
        <w:t>Brussel</w:t>
      </w:r>
    </w:p>
    <w:p w14:paraId="6B94FF87" w14:textId="0639D292" w:rsidR="007A5D72" w:rsidRPr="00A6342F" w:rsidRDefault="009A43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 w:themeColor="text1"/>
        </w:rPr>
      </w:pPr>
      <w:r w:rsidRPr="00A6342F">
        <w:rPr>
          <w:rFonts w:eastAsia="Tahoma"/>
          <w:color w:val="000000" w:themeColor="text1"/>
        </w:rPr>
        <w:t xml:space="preserve">Les représentants des travailleurs : FGTB, CSC, CGSLB </w:t>
      </w:r>
    </w:p>
    <w:p w14:paraId="4E1BC512" w14:textId="232E6D0D" w:rsidR="007A5D72" w:rsidRPr="00A6342F" w:rsidRDefault="009A43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eastAsia="Tahoma"/>
          <w:color w:val="000000" w:themeColor="text1"/>
        </w:rPr>
      </w:pPr>
      <w:r w:rsidRPr="00A6342F">
        <w:rPr>
          <w:rFonts w:eastAsia="Tahoma"/>
          <w:color w:val="000000" w:themeColor="text1"/>
        </w:rPr>
        <w:t>Le représentant du Gouvernement de la Région Bruxelles Capitale : le Ministre de l’Emploi</w:t>
      </w:r>
    </w:p>
    <w:p w14:paraId="1A641417" w14:textId="5FE55381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Actiris </w:t>
      </w:r>
      <w:r w:rsidR="00BA032B">
        <w:rPr>
          <w:color w:val="000000" w:themeColor="text1"/>
        </w:rPr>
        <w:t>est</w:t>
      </w:r>
      <w:r w:rsidRPr="00250E9C">
        <w:rPr>
          <w:color w:val="000000" w:themeColor="text1"/>
        </w:rPr>
        <w:t xml:space="preserve"> </w:t>
      </w:r>
      <w:r w:rsidR="00285251">
        <w:rPr>
          <w:color w:val="000000" w:themeColor="text1"/>
        </w:rPr>
        <w:t xml:space="preserve">également </w:t>
      </w:r>
      <w:r w:rsidRPr="00250E9C">
        <w:rPr>
          <w:color w:val="000000" w:themeColor="text1"/>
        </w:rPr>
        <w:t>associé aux discussions.</w:t>
      </w:r>
      <w:r w:rsidR="00BA032B">
        <w:rPr>
          <w:color w:val="000000" w:themeColor="text1"/>
        </w:rPr>
        <w:t xml:space="preserve"> </w:t>
      </w:r>
    </w:p>
    <w:p w14:paraId="5903FB68" w14:textId="324FB938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Les ANM 2021/2024 prévoient plusieurs mesures. Pour chacune d’elles le financement est budgété. Si la mesure n’est pas mise en œuvre, ce montant est </w:t>
      </w:r>
      <w:r w:rsidR="00285251">
        <w:rPr>
          <w:color w:val="000000" w:themeColor="text1"/>
        </w:rPr>
        <w:t>versé</w:t>
      </w:r>
      <w:r w:rsidRPr="00250E9C">
        <w:rPr>
          <w:color w:val="000000" w:themeColor="text1"/>
        </w:rPr>
        <w:t xml:space="preserve"> dans l’ANM et son utilisation fait l’objet d’une négociation </w:t>
      </w:r>
      <w:r w:rsidR="00753930" w:rsidRPr="00250E9C">
        <w:rPr>
          <w:color w:val="000000" w:themeColor="text1"/>
        </w:rPr>
        <w:t xml:space="preserve">sous la forme d’une </w:t>
      </w:r>
      <w:r w:rsidRPr="00250E9C">
        <w:rPr>
          <w:color w:val="000000" w:themeColor="text1"/>
        </w:rPr>
        <w:t xml:space="preserve">Prime de </w:t>
      </w:r>
      <w:r w:rsidR="00596D03">
        <w:rPr>
          <w:color w:val="000000" w:themeColor="text1"/>
        </w:rPr>
        <w:t>F</w:t>
      </w:r>
      <w:r w:rsidRPr="00250E9C">
        <w:rPr>
          <w:color w:val="000000" w:themeColor="text1"/>
        </w:rPr>
        <w:t>in d’</w:t>
      </w:r>
      <w:r w:rsidR="00596D03">
        <w:rPr>
          <w:color w:val="000000" w:themeColor="text1"/>
        </w:rPr>
        <w:t>A</w:t>
      </w:r>
      <w:r w:rsidRPr="00250E9C">
        <w:rPr>
          <w:color w:val="000000" w:themeColor="text1"/>
        </w:rPr>
        <w:t xml:space="preserve">nnée (PFA) </w:t>
      </w:r>
      <w:r w:rsidRPr="00A6342F">
        <w:rPr>
          <w:color w:val="000000" w:themeColor="text1"/>
        </w:rPr>
        <w:t>ou autre.</w:t>
      </w:r>
      <w:r w:rsidRPr="00250E9C">
        <w:rPr>
          <w:color w:val="000000" w:themeColor="text1"/>
        </w:rPr>
        <w:t xml:space="preserve"> </w:t>
      </w:r>
    </w:p>
    <w:p w14:paraId="08D0A392" w14:textId="1F4A7AED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Cependant, le financement de l’ESMI n’a pas été engagé pour 2022, ni, </w:t>
      </w:r>
      <w:r w:rsidRPr="00675C17">
        <w:rPr>
          <w:color w:val="000000" w:themeColor="text1"/>
        </w:rPr>
        <w:t>probablement</w:t>
      </w:r>
      <w:r w:rsidRPr="00250E9C">
        <w:rPr>
          <w:color w:val="000000" w:themeColor="text1"/>
        </w:rPr>
        <w:t xml:space="preserve">, pour 2023. Cela </w:t>
      </w:r>
      <w:r w:rsidR="00753930" w:rsidRPr="00250E9C">
        <w:rPr>
          <w:color w:val="000000" w:themeColor="text1"/>
        </w:rPr>
        <w:t>représente</w:t>
      </w:r>
      <w:r w:rsidRPr="00250E9C">
        <w:rPr>
          <w:color w:val="000000" w:themeColor="text1"/>
        </w:rPr>
        <w:t xml:space="preserve"> </w:t>
      </w:r>
      <w:r w:rsidR="00753930" w:rsidRPr="00250E9C">
        <w:rPr>
          <w:color w:val="000000" w:themeColor="text1"/>
        </w:rPr>
        <w:t>en</w:t>
      </w:r>
      <w:r w:rsidRPr="00250E9C">
        <w:rPr>
          <w:color w:val="000000" w:themeColor="text1"/>
        </w:rPr>
        <w:t xml:space="preserve"> 2022</w:t>
      </w:r>
      <w:r w:rsidR="00753930" w:rsidRPr="00250E9C">
        <w:rPr>
          <w:color w:val="000000" w:themeColor="text1"/>
        </w:rPr>
        <w:t xml:space="preserve"> : </w:t>
      </w:r>
      <w:r w:rsidRPr="00250E9C">
        <w:rPr>
          <w:color w:val="000000" w:themeColor="text1"/>
        </w:rPr>
        <w:t xml:space="preserve">215 000 euros, </w:t>
      </w:r>
      <w:r w:rsidR="00753930" w:rsidRPr="00250E9C">
        <w:rPr>
          <w:color w:val="000000" w:themeColor="text1"/>
        </w:rPr>
        <w:t xml:space="preserve">et en </w:t>
      </w:r>
      <w:r w:rsidRPr="00250E9C">
        <w:rPr>
          <w:color w:val="000000" w:themeColor="text1"/>
        </w:rPr>
        <w:t>2023</w:t>
      </w:r>
      <w:r w:rsidR="00753930" w:rsidRPr="00250E9C">
        <w:rPr>
          <w:color w:val="000000" w:themeColor="text1"/>
        </w:rPr>
        <w:t xml:space="preserve"> : </w:t>
      </w:r>
      <w:r w:rsidRPr="00250E9C">
        <w:rPr>
          <w:color w:val="000000" w:themeColor="text1"/>
        </w:rPr>
        <w:t>319 500 euros</w:t>
      </w:r>
      <w:r w:rsidR="00AE7C72">
        <w:rPr>
          <w:rStyle w:val="Voetnootmarkering"/>
          <w:color w:val="000000" w:themeColor="text1"/>
        </w:rPr>
        <w:footnoteReference w:id="3"/>
      </w:r>
      <w:r w:rsidRPr="00250E9C">
        <w:rPr>
          <w:color w:val="000000" w:themeColor="text1"/>
        </w:rPr>
        <w:t>. N’étant pas engagés, ces montants ne sont pas rapatriés dans l’ANM. Cela équivaut à une perte totale pour l’ESMI et pour l’ANM de 534 500 euros.</w:t>
      </w:r>
    </w:p>
    <w:p w14:paraId="471FC2E6" w14:textId="3AE57DB8" w:rsidR="007A5D72" w:rsidRDefault="00285251">
      <w:pPr>
        <w:rPr>
          <w:b/>
        </w:rPr>
      </w:pPr>
      <w:r>
        <w:rPr>
          <w:b/>
        </w:rPr>
        <w:lastRenderedPageBreak/>
        <w:t xml:space="preserve">La présente note vise à </w:t>
      </w:r>
      <w:r w:rsidR="00675C17">
        <w:rPr>
          <w:b/>
        </w:rPr>
        <w:t>exposer</w:t>
      </w:r>
      <w:r>
        <w:rPr>
          <w:b/>
        </w:rPr>
        <w:t xml:space="preserve"> les conclusions des analyses de la FeBISP</w:t>
      </w:r>
      <w:r w:rsidR="00675C17">
        <w:rPr>
          <w:b/>
        </w:rPr>
        <w:t xml:space="preserve"> </w:t>
      </w:r>
      <w:r>
        <w:rPr>
          <w:b/>
        </w:rPr>
        <w:t xml:space="preserve">et </w:t>
      </w:r>
      <w:r w:rsidR="00675C17">
        <w:rPr>
          <w:b/>
        </w:rPr>
        <w:t xml:space="preserve">de </w:t>
      </w:r>
      <w:r>
        <w:rPr>
          <w:b/>
        </w:rPr>
        <w:t xml:space="preserve">FeBIO sur </w:t>
      </w:r>
      <w:r w:rsidR="00E907E0">
        <w:rPr>
          <w:b/>
        </w:rPr>
        <w:t>cette perte</w:t>
      </w:r>
      <w:r>
        <w:rPr>
          <w:b/>
        </w:rPr>
        <w:t xml:space="preserve"> et de soumettre une proposition d’attribution des budgets ANM ESMI 2023 et 2024 </w:t>
      </w:r>
      <w:r w:rsidR="00F54A11">
        <w:rPr>
          <w:b/>
        </w:rPr>
        <w:t>aux</w:t>
      </w:r>
      <w:r>
        <w:rPr>
          <w:b/>
        </w:rPr>
        <w:t xml:space="preserve"> ESMI.</w:t>
      </w:r>
    </w:p>
    <w:p w14:paraId="2884C780" w14:textId="11ED7883" w:rsidR="007A5D72" w:rsidRDefault="00C35175" w:rsidP="00C35175">
      <w:pPr>
        <w:pStyle w:val="Kop1"/>
      </w:pPr>
      <w:r>
        <w:t>Le cadre</w:t>
      </w:r>
      <w:r w:rsidR="0094704A">
        <w:t xml:space="preserve"> ESMI</w:t>
      </w:r>
    </w:p>
    <w:p w14:paraId="08E63A18" w14:textId="50EF7432" w:rsidR="007A5D72" w:rsidRDefault="0094704A">
      <w:r>
        <w:t>L’ESMI dépend du cadre juridique suivant :</w:t>
      </w:r>
    </w:p>
    <w:p w14:paraId="148AED61" w14:textId="5D2EAB9E" w:rsidR="007A5D72" w:rsidRDefault="0094704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 xml:space="preserve">Ordonnance du 23 juillet 2018 relative à l’agrément et </w:t>
      </w:r>
      <w:r w:rsidR="00FE6F4A">
        <w:rPr>
          <w:rFonts w:eastAsia="Tahoma"/>
          <w:color w:val="000000"/>
        </w:rPr>
        <w:t xml:space="preserve">au </w:t>
      </w:r>
      <w:r>
        <w:rPr>
          <w:rFonts w:eastAsia="Tahoma"/>
          <w:color w:val="000000"/>
        </w:rPr>
        <w:t>soutien de</w:t>
      </w:r>
      <w:r w:rsidR="001F6DC2">
        <w:rPr>
          <w:rFonts w:eastAsia="Tahoma"/>
          <w:color w:val="000000"/>
        </w:rPr>
        <w:t>s entreprises sociales</w:t>
      </w:r>
      <w:r w:rsidR="00FE6F4A">
        <w:rPr>
          <w:rFonts w:eastAsia="Tahoma"/>
          <w:color w:val="000000"/>
        </w:rPr>
        <w:t xml:space="preserve"> (ES)</w:t>
      </w:r>
      <w:r w:rsidR="001F6DC2">
        <w:rPr>
          <w:rFonts w:eastAsia="Tahoma"/>
          <w:color w:val="000000"/>
        </w:rPr>
        <w:t>,</w:t>
      </w:r>
      <w:r w:rsidR="00FE6F4A">
        <w:rPr>
          <w:rFonts w:eastAsia="Tahoma"/>
          <w:color w:val="000000"/>
        </w:rPr>
        <w:t xml:space="preserve"> e</w:t>
      </w:r>
      <w:r w:rsidR="001F6DC2">
        <w:rPr>
          <w:rFonts w:eastAsia="Tahoma"/>
          <w:color w:val="000000"/>
        </w:rPr>
        <w:t>t ses arrêtés :</w:t>
      </w:r>
    </w:p>
    <w:p w14:paraId="30C16560" w14:textId="7C5D3A12" w:rsidR="007A5D72" w:rsidRDefault="0094704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 xml:space="preserve">Arrêté </w:t>
      </w:r>
      <w:r w:rsidR="001F6DC2">
        <w:rPr>
          <w:rFonts w:eastAsia="Tahoma"/>
          <w:color w:val="000000"/>
        </w:rPr>
        <w:t xml:space="preserve">du Gouvernement de la RBC </w:t>
      </w:r>
      <w:r>
        <w:rPr>
          <w:rFonts w:eastAsia="Tahoma"/>
          <w:color w:val="000000"/>
        </w:rPr>
        <w:t>du 20 décembre 2018 relatif à l’agrément des ES</w:t>
      </w:r>
    </w:p>
    <w:p w14:paraId="065AE421" w14:textId="750BBEAF" w:rsidR="007A5D72" w:rsidRDefault="0094704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 xml:space="preserve">Arrêté </w:t>
      </w:r>
      <w:r w:rsidR="001F6DC2">
        <w:rPr>
          <w:rFonts w:eastAsia="Tahoma"/>
          <w:color w:val="000000"/>
        </w:rPr>
        <w:t xml:space="preserve">du Gouvernement de la RBC </w:t>
      </w:r>
      <w:r>
        <w:rPr>
          <w:rFonts w:eastAsia="Tahoma"/>
          <w:color w:val="000000"/>
        </w:rPr>
        <w:t xml:space="preserve">du 16 mai 2019 relatif au mandatement et compensation en </w:t>
      </w:r>
      <w:r w:rsidR="00FE6F4A">
        <w:rPr>
          <w:rFonts w:eastAsia="Tahoma"/>
          <w:color w:val="000000"/>
        </w:rPr>
        <w:t>entreprises sociales d’insertion</w:t>
      </w:r>
    </w:p>
    <w:p w14:paraId="67EE67B4" w14:textId="039CA4A9" w:rsidR="007A5D72" w:rsidRDefault="0094704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 xml:space="preserve">Arrêté </w:t>
      </w:r>
      <w:r w:rsidR="001F6DC2">
        <w:rPr>
          <w:rFonts w:eastAsia="Tahoma"/>
          <w:color w:val="000000"/>
        </w:rPr>
        <w:t xml:space="preserve">du Gouvernement de la RBC </w:t>
      </w:r>
      <w:r>
        <w:rPr>
          <w:rFonts w:eastAsia="Tahoma"/>
          <w:color w:val="000000"/>
        </w:rPr>
        <w:t>du 4 avril 2019 relatif au CCES</w:t>
      </w:r>
      <w:r>
        <w:rPr>
          <w:rFonts w:eastAsia="Tahoma"/>
          <w:color w:val="000000"/>
          <w:vertAlign w:val="superscript"/>
        </w:rPr>
        <w:footnoteReference w:id="4"/>
      </w:r>
      <w:r>
        <w:rPr>
          <w:rFonts w:eastAsia="Tahoma"/>
          <w:color w:val="000000"/>
        </w:rPr>
        <w:t xml:space="preserve"> </w:t>
      </w:r>
    </w:p>
    <w:p w14:paraId="20B54E4F" w14:textId="5E9F2EFE" w:rsidR="00E907E0" w:rsidRDefault="00E907E0" w:rsidP="00E907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ahoma"/>
          <w:color w:val="000000"/>
        </w:rPr>
      </w:pPr>
      <w:r>
        <w:rPr>
          <w:rFonts w:eastAsia="Tahoma"/>
          <w:color w:val="000000"/>
        </w:rPr>
        <w:t>Ordonnance du 17 juin 2017 sur les aides à l’emploi</w:t>
      </w:r>
      <w:r w:rsidR="00FE6F4A">
        <w:rPr>
          <w:rFonts w:eastAsia="Tahoma"/>
          <w:color w:val="000000"/>
        </w:rPr>
        <w:t>,</w:t>
      </w:r>
      <w:r w:rsidR="001F6DC2">
        <w:rPr>
          <w:rFonts w:eastAsia="Tahoma"/>
          <w:color w:val="000000"/>
        </w:rPr>
        <w:t xml:space="preserve"> et ses arrêtés : </w:t>
      </w:r>
    </w:p>
    <w:p w14:paraId="6689F78D" w14:textId="404564CF" w:rsidR="00E907E0" w:rsidRDefault="00E907E0" w:rsidP="00E907E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 xml:space="preserve">Arrêté </w:t>
      </w:r>
      <w:r w:rsidR="001F6DC2">
        <w:rPr>
          <w:rFonts w:eastAsia="Tahoma"/>
          <w:color w:val="000000"/>
        </w:rPr>
        <w:t xml:space="preserve">du Gouvernement de la RBC </w:t>
      </w:r>
      <w:r>
        <w:rPr>
          <w:rFonts w:eastAsia="Tahoma"/>
          <w:color w:val="000000"/>
        </w:rPr>
        <w:t>du 16 mai 2019 relatif au dispositif d’emploi d’insertion en économie sociale</w:t>
      </w:r>
    </w:p>
    <w:p w14:paraId="108B467A" w14:textId="40A70598" w:rsidR="00E907E0" w:rsidRPr="00FE6F4A" w:rsidRDefault="00E907E0" w:rsidP="00FE6F4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 w:rsidRPr="00FE6F4A">
        <w:rPr>
          <w:rFonts w:eastAsia="Tahoma"/>
          <w:color w:val="000000"/>
        </w:rPr>
        <w:t xml:space="preserve">Arrêté </w:t>
      </w:r>
      <w:r w:rsidR="001F6DC2" w:rsidRPr="00FE6F4A">
        <w:rPr>
          <w:rFonts w:eastAsia="Tahoma"/>
          <w:color w:val="000000"/>
        </w:rPr>
        <w:t xml:space="preserve">du Gouvernement de la RBC </w:t>
      </w:r>
      <w:r w:rsidRPr="00FE6F4A">
        <w:rPr>
          <w:rFonts w:eastAsia="Tahoma"/>
          <w:color w:val="000000"/>
        </w:rPr>
        <w:t xml:space="preserve">du 23 mai 2019 relatif à l’emploi d’insertion visé à l’article 60,§7 de la loi organique </w:t>
      </w:r>
      <w:r w:rsidR="00FE6F4A">
        <w:rPr>
          <w:rFonts w:eastAsia="Tahoma"/>
          <w:color w:val="000000"/>
        </w:rPr>
        <w:t xml:space="preserve">des CPAS </w:t>
      </w:r>
      <w:r w:rsidRPr="00FE6F4A">
        <w:rPr>
          <w:rFonts w:eastAsia="Tahoma"/>
          <w:color w:val="000000"/>
        </w:rPr>
        <w:t xml:space="preserve">du 8 juillet 1976 </w:t>
      </w:r>
    </w:p>
    <w:p w14:paraId="400D5A8E" w14:textId="30897884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Pour </w:t>
      </w:r>
      <w:r w:rsidR="00FE6F4A">
        <w:rPr>
          <w:color w:val="000000" w:themeColor="text1"/>
        </w:rPr>
        <w:t>solliciter le</w:t>
      </w:r>
      <w:r w:rsidRPr="00250E9C">
        <w:rPr>
          <w:color w:val="000000" w:themeColor="text1"/>
        </w:rPr>
        <w:t xml:space="preserve"> mandat</w:t>
      </w:r>
      <w:r w:rsidR="001F6DC2" w:rsidRPr="00250E9C">
        <w:rPr>
          <w:color w:val="000000" w:themeColor="text1"/>
        </w:rPr>
        <w:t>e</w:t>
      </w:r>
      <w:r w:rsidR="00FE6F4A">
        <w:rPr>
          <w:color w:val="000000" w:themeColor="text1"/>
        </w:rPr>
        <w:t>ment</w:t>
      </w:r>
      <w:r w:rsidRPr="00250E9C">
        <w:rPr>
          <w:color w:val="000000" w:themeColor="text1"/>
        </w:rPr>
        <w:t xml:space="preserve"> en insertion les structures doivent être agréées en économie sociale. L’agrément en économie sociale, défini dans l’Ordonnance du 23 juillet 2018, est de deux types</w:t>
      </w:r>
      <w:r w:rsidR="00C35175">
        <w:rPr>
          <w:color w:val="000000" w:themeColor="text1"/>
        </w:rPr>
        <w:t>, selon la nature de la structure demandeuse</w:t>
      </w:r>
      <w:r w:rsidRPr="00250E9C">
        <w:rPr>
          <w:color w:val="000000" w:themeColor="text1"/>
        </w:rPr>
        <w:t xml:space="preserve"> : </w:t>
      </w:r>
    </w:p>
    <w:p w14:paraId="502952DE" w14:textId="63884077" w:rsidR="007A5D72" w:rsidRPr="00FE6F4A" w:rsidRDefault="0094704A" w:rsidP="00FE6F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 w:themeColor="text1"/>
        </w:rPr>
      </w:pPr>
      <w:r w:rsidRPr="00250E9C">
        <w:rPr>
          <w:rFonts w:eastAsia="Tahoma"/>
          <w:color w:val="000000" w:themeColor="text1"/>
        </w:rPr>
        <w:t>Les structures avec une influence du pouvoir public (article 7 à 10)</w:t>
      </w:r>
      <w:r w:rsidR="001F6DC2" w:rsidRPr="00250E9C">
        <w:rPr>
          <w:rFonts w:eastAsia="Tahoma"/>
          <w:color w:val="000000" w:themeColor="text1"/>
        </w:rPr>
        <w:t> </w:t>
      </w:r>
      <w:r w:rsidR="00FE6F4A">
        <w:rPr>
          <w:rFonts w:eastAsia="Tahoma"/>
          <w:color w:val="000000" w:themeColor="text1"/>
        </w:rPr>
        <w:t>sont considérées comme d</w:t>
      </w:r>
      <w:r w:rsidRPr="00FE6F4A">
        <w:rPr>
          <w:rFonts w:eastAsia="Tahoma"/>
          <w:color w:val="000000" w:themeColor="text1"/>
        </w:rPr>
        <w:t xml:space="preserve">es </w:t>
      </w:r>
      <w:r w:rsidR="00E76883">
        <w:rPr>
          <w:rFonts w:eastAsia="Tahoma"/>
          <w:color w:val="000000" w:themeColor="text1"/>
        </w:rPr>
        <w:t>I</w:t>
      </w:r>
      <w:r w:rsidRPr="00FE6F4A">
        <w:rPr>
          <w:rFonts w:eastAsia="Tahoma"/>
          <w:color w:val="000000" w:themeColor="text1"/>
        </w:rPr>
        <w:t xml:space="preserve">nitiatives </w:t>
      </w:r>
      <w:r w:rsidR="00E76883">
        <w:rPr>
          <w:rFonts w:eastAsia="Tahoma"/>
          <w:color w:val="000000" w:themeColor="text1"/>
        </w:rPr>
        <w:t>P</w:t>
      </w:r>
      <w:r w:rsidRPr="00FE6F4A">
        <w:rPr>
          <w:rFonts w:eastAsia="Tahoma"/>
          <w:color w:val="000000" w:themeColor="text1"/>
        </w:rPr>
        <w:t>ublics d’</w:t>
      </w:r>
      <w:r w:rsidR="00E76883">
        <w:rPr>
          <w:rFonts w:eastAsia="Tahoma"/>
          <w:color w:val="000000" w:themeColor="text1"/>
        </w:rPr>
        <w:t>É</w:t>
      </w:r>
      <w:r w:rsidR="00E76883" w:rsidRPr="00FE6F4A">
        <w:rPr>
          <w:rFonts w:eastAsia="Tahoma"/>
          <w:color w:val="000000" w:themeColor="text1"/>
        </w:rPr>
        <w:t>conomie</w:t>
      </w:r>
      <w:r w:rsidRPr="00FE6F4A">
        <w:rPr>
          <w:rFonts w:eastAsia="Tahoma"/>
          <w:color w:val="000000" w:themeColor="text1"/>
        </w:rPr>
        <w:t xml:space="preserve"> </w:t>
      </w:r>
      <w:r w:rsidR="00E76883">
        <w:rPr>
          <w:rFonts w:eastAsia="Tahoma"/>
          <w:color w:val="000000" w:themeColor="text1"/>
        </w:rPr>
        <w:t>S</w:t>
      </w:r>
      <w:r w:rsidRPr="00FE6F4A">
        <w:rPr>
          <w:rFonts w:eastAsia="Tahoma"/>
          <w:color w:val="000000" w:themeColor="text1"/>
        </w:rPr>
        <w:t>ociale (IPES)</w:t>
      </w:r>
    </w:p>
    <w:p w14:paraId="634C79AA" w14:textId="097EB7E9" w:rsidR="001F6DC2" w:rsidRPr="00250E9C" w:rsidRDefault="001F6DC2" w:rsidP="001F6DC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ahoma"/>
          <w:color w:val="000000" w:themeColor="text1"/>
        </w:rPr>
      </w:pPr>
      <w:r w:rsidRPr="00250E9C">
        <w:rPr>
          <w:rFonts w:eastAsia="Tahoma"/>
          <w:color w:val="000000" w:themeColor="text1"/>
        </w:rPr>
        <w:t>Les structures à caractère privé (article 3 à 6) </w:t>
      </w:r>
      <w:r w:rsidR="00FE6F4A">
        <w:rPr>
          <w:rFonts w:eastAsia="Tahoma"/>
          <w:color w:val="000000" w:themeColor="text1"/>
        </w:rPr>
        <w:t>sont considérées comme d</w:t>
      </w:r>
      <w:r w:rsidR="00FE6F4A" w:rsidRPr="00FE6F4A">
        <w:rPr>
          <w:rFonts w:eastAsia="Tahoma"/>
          <w:color w:val="000000" w:themeColor="text1"/>
        </w:rPr>
        <w:t>es</w:t>
      </w:r>
      <w:r w:rsidR="00FE6F4A" w:rsidRPr="00250E9C">
        <w:rPr>
          <w:rFonts w:eastAsia="Tahoma"/>
          <w:color w:val="000000" w:themeColor="text1"/>
        </w:rPr>
        <w:t xml:space="preserve"> </w:t>
      </w:r>
      <w:r w:rsidR="00E76883">
        <w:rPr>
          <w:rFonts w:eastAsia="Tahoma"/>
          <w:color w:val="000000" w:themeColor="text1"/>
        </w:rPr>
        <w:t>E</w:t>
      </w:r>
      <w:r w:rsidRPr="00250E9C">
        <w:rPr>
          <w:rFonts w:eastAsia="Tahoma"/>
          <w:color w:val="000000" w:themeColor="text1"/>
        </w:rPr>
        <w:t xml:space="preserve">ntreprises </w:t>
      </w:r>
      <w:r w:rsidR="00E76883">
        <w:rPr>
          <w:rFonts w:eastAsia="Tahoma"/>
          <w:color w:val="000000" w:themeColor="text1"/>
        </w:rPr>
        <w:t>S</w:t>
      </w:r>
      <w:r w:rsidRPr="00250E9C">
        <w:rPr>
          <w:rFonts w:eastAsia="Tahoma"/>
          <w:color w:val="000000" w:themeColor="text1"/>
        </w:rPr>
        <w:t xml:space="preserve">ociales et </w:t>
      </w:r>
      <w:r w:rsidR="00E76883">
        <w:rPr>
          <w:rFonts w:eastAsia="Tahoma"/>
          <w:color w:val="000000" w:themeColor="text1"/>
        </w:rPr>
        <w:t>D</w:t>
      </w:r>
      <w:r w:rsidRPr="00250E9C">
        <w:rPr>
          <w:rFonts w:eastAsia="Tahoma"/>
          <w:color w:val="000000" w:themeColor="text1"/>
        </w:rPr>
        <w:t>émocratique (ESD)</w:t>
      </w:r>
    </w:p>
    <w:p w14:paraId="141859FB" w14:textId="77777777" w:rsidR="001F6DC2" w:rsidRPr="00250E9C" w:rsidRDefault="001F6DC2" w:rsidP="00CC1D1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rFonts w:eastAsia="Tahoma"/>
          <w:color w:val="000000" w:themeColor="text1"/>
        </w:rPr>
      </w:pPr>
    </w:p>
    <w:p w14:paraId="5C5CF766" w14:textId="280F9CD0" w:rsidR="007A5D72" w:rsidRPr="00250E9C" w:rsidRDefault="00FE6F4A">
      <w:pPr>
        <w:rPr>
          <w:color w:val="000000" w:themeColor="text1"/>
        </w:rPr>
      </w:pPr>
      <w:r>
        <w:rPr>
          <w:color w:val="000000" w:themeColor="text1"/>
        </w:rPr>
        <w:t>Plus précisément,</w:t>
      </w:r>
      <w:r w:rsidRPr="00250E9C">
        <w:rPr>
          <w:color w:val="000000" w:themeColor="text1"/>
        </w:rPr>
        <w:t xml:space="preserve"> il y a quatre catégories d’agrément selon l’influence des pouvoirs publics : IPES 1, IPES 2, IPES 3 et ESD</w:t>
      </w:r>
      <w:r w:rsidR="001F6DC2" w:rsidRPr="00250E9C">
        <w:rPr>
          <w:color w:val="000000" w:themeColor="text1"/>
        </w:rPr>
        <w:t> :</w:t>
      </w:r>
    </w:p>
    <w:p w14:paraId="09BC0B98" w14:textId="1DCBBB7F" w:rsidR="001F6DC2" w:rsidRPr="00250E9C" w:rsidRDefault="0094704A" w:rsidP="00CC1D11">
      <w:pPr>
        <w:pStyle w:val="Lijstalinea"/>
        <w:numPr>
          <w:ilvl w:val="0"/>
          <w:numId w:val="12"/>
        </w:numPr>
        <w:rPr>
          <w:color w:val="000000" w:themeColor="text1"/>
        </w:rPr>
      </w:pPr>
      <w:r w:rsidRPr="00250E9C">
        <w:rPr>
          <w:color w:val="000000" w:themeColor="text1"/>
        </w:rPr>
        <w:t>La catégorie IPES 1 concerne les organisations créées par une loi et bénéficiant d'une autonomie organique, ce qui correspond aux CPAS</w:t>
      </w:r>
    </w:p>
    <w:p w14:paraId="7DEF07FE" w14:textId="2BE4BB79" w:rsidR="001F6DC2" w:rsidRPr="00250E9C" w:rsidRDefault="0094704A" w:rsidP="00CC1D11">
      <w:pPr>
        <w:pStyle w:val="Lijstalinea"/>
        <w:numPr>
          <w:ilvl w:val="0"/>
          <w:numId w:val="12"/>
        </w:numPr>
        <w:rPr>
          <w:color w:val="000000" w:themeColor="text1"/>
        </w:rPr>
      </w:pPr>
      <w:r w:rsidRPr="00250E9C">
        <w:rPr>
          <w:color w:val="000000" w:themeColor="text1"/>
        </w:rPr>
        <w:t>La catégorie IPES 2 correspond aux organisations créées par les pouvoirs publics pour l'accomplissement de tâches d'intérêt général (SISP, Associations Chapitre XII mise</w:t>
      </w:r>
      <w:r w:rsidR="001F6DC2" w:rsidRPr="00250E9C">
        <w:rPr>
          <w:color w:val="000000" w:themeColor="text1"/>
        </w:rPr>
        <w:t>s</w:t>
      </w:r>
      <w:r w:rsidRPr="00250E9C">
        <w:rPr>
          <w:color w:val="000000" w:themeColor="text1"/>
        </w:rPr>
        <w:t xml:space="preserve"> en place par un CPAS, ALE, ASBL communales). </w:t>
      </w:r>
    </w:p>
    <w:p w14:paraId="72B8E5A2" w14:textId="0F627B44" w:rsidR="001F6DC2" w:rsidRPr="00250E9C" w:rsidRDefault="0094704A" w:rsidP="00CC1D11">
      <w:pPr>
        <w:pStyle w:val="Lijstalinea"/>
        <w:numPr>
          <w:ilvl w:val="0"/>
          <w:numId w:val="12"/>
        </w:numPr>
        <w:rPr>
          <w:color w:val="000000" w:themeColor="text1"/>
        </w:rPr>
      </w:pPr>
      <w:r w:rsidRPr="00250E9C">
        <w:rPr>
          <w:color w:val="000000" w:themeColor="text1"/>
        </w:rPr>
        <w:t xml:space="preserve">La catégorie IPES 3 regroupe des organisations dont la gestion est soumise au contrôle des pouvoirs publics, telles que les AIS et les Missions locales et/ ou </w:t>
      </w:r>
      <w:r w:rsidR="00FE6F4A">
        <w:rPr>
          <w:color w:val="000000" w:themeColor="text1"/>
        </w:rPr>
        <w:t xml:space="preserve">des organisations dans lesquelles </w:t>
      </w:r>
      <w:r w:rsidRPr="00250E9C">
        <w:rPr>
          <w:color w:val="000000" w:themeColor="text1"/>
        </w:rPr>
        <w:t>plus de 25% des membres du conseil d</w:t>
      </w:r>
      <w:r w:rsidR="002F31CF">
        <w:rPr>
          <w:color w:val="000000" w:themeColor="text1"/>
        </w:rPr>
        <w:t>’</w:t>
      </w:r>
      <w:r w:rsidRPr="00250E9C">
        <w:rPr>
          <w:color w:val="000000" w:themeColor="text1"/>
        </w:rPr>
        <w:t>administration est composé de représentants des pouvoirs publics (communal, communautaire, régional, fédéral).</w:t>
      </w:r>
    </w:p>
    <w:p w14:paraId="16DFD22E" w14:textId="2426195D" w:rsidR="007A5D72" w:rsidRPr="00250E9C" w:rsidRDefault="0094704A" w:rsidP="00CC1D11">
      <w:pPr>
        <w:pStyle w:val="Lijstalinea"/>
        <w:numPr>
          <w:ilvl w:val="0"/>
          <w:numId w:val="12"/>
        </w:numPr>
        <w:rPr>
          <w:color w:val="000000" w:themeColor="text1"/>
        </w:rPr>
      </w:pPr>
      <w:r w:rsidRPr="00250E9C">
        <w:rPr>
          <w:color w:val="000000" w:themeColor="text1"/>
        </w:rPr>
        <w:t xml:space="preserve">La catégorie ESD correspond à toutes les autres organisations et se caractérise par une faible présence des pouvoirs publics dans leur </w:t>
      </w:r>
      <w:r w:rsidR="00705CCB" w:rsidRPr="00250E9C">
        <w:rPr>
          <w:color w:val="000000" w:themeColor="text1"/>
        </w:rPr>
        <w:t xml:space="preserve">conseil d’administration </w:t>
      </w:r>
      <w:r w:rsidRPr="00250E9C">
        <w:rPr>
          <w:color w:val="000000" w:themeColor="text1"/>
        </w:rPr>
        <w:t xml:space="preserve">(25% ou moins). </w:t>
      </w:r>
    </w:p>
    <w:p w14:paraId="238EFF1C" w14:textId="63156A47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Ainsi, les IPES 1 et 2 sont des organisations publiques. Les IPES 3 sont associatives avec une présence des organisations publiques dans leurs </w:t>
      </w:r>
      <w:r w:rsidR="00D927B8" w:rsidRPr="00250E9C">
        <w:rPr>
          <w:color w:val="000000" w:themeColor="text1"/>
        </w:rPr>
        <w:t xml:space="preserve">conseil </w:t>
      </w:r>
      <w:r w:rsidR="00D927B8" w:rsidRPr="00A6342F">
        <w:rPr>
          <w:color w:val="000000" w:themeColor="text1"/>
        </w:rPr>
        <w:t>d’administration</w:t>
      </w:r>
      <w:r w:rsidRPr="00A6342F">
        <w:rPr>
          <w:color w:val="000000" w:themeColor="text1"/>
        </w:rPr>
        <w:t xml:space="preserve">. </w:t>
      </w:r>
      <w:r w:rsidR="00BA032B" w:rsidRPr="00A6342F">
        <w:rPr>
          <w:color w:val="000000" w:themeColor="text1"/>
        </w:rPr>
        <w:t xml:space="preserve">Une partie des ESD </w:t>
      </w:r>
      <w:r w:rsidR="00A6342F" w:rsidRPr="00A6342F">
        <w:rPr>
          <w:color w:val="000000" w:themeColor="text1"/>
        </w:rPr>
        <w:t xml:space="preserve">(dont la présence des pouvoirs publics dans leurs CA est </w:t>
      </w:r>
      <w:r w:rsidR="00E76883">
        <w:rPr>
          <w:color w:val="000000" w:themeColor="text1"/>
        </w:rPr>
        <w:t xml:space="preserve">toujours </w:t>
      </w:r>
      <w:r w:rsidR="00A6342F" w:rsidRPr="00A6342F">
        <w:rPr>
          <w:color w:val="000000" w:themeColor="text1"/>
        </w:rPr>
        <w:t>limitée à 25% des membres du CA) est</w:t>
      </w:r>
      <w:r w:rsidR="00BA032B" w:rsidRPr="00A6342F">
        <w:rPr>
          <w:color w:val="000000" w:themeColor="text1"/>
        </w:rPr>
        <w:t xml:space="preserve"> </w:t>
      </w:r>
      <w:r w:rsidRPr="00A6342F">
        <w:rPr>
          <w:color w:val="000000" w:themeColor="text1"/>
        </w:rPr>
        <w:t>associative.</w:t>
      </w:r>
    </w:p>
    <w:p w14:paraId="3FDDAB31" w14:textId="735C0FB8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>Pour obtenir l’agrément</w:t>
      </w:r>
      <w:r w:rsidR="002F31CF">
        <w:rPr>
          <w:color w:val="000000" w:themeColor="text1"/>
        </w:rPr>
        <w:t xml:space="preserve"> « Entreprise sociale »</w:t>
      </w:r>
      <w:r w:rsidRPr="00250E9C">
        <w:rPr>
          <w:color w:val="000000" w:themeColor="text1"/>
        </w:rPr>
        <w:t xml:space="preserve">, Bruxelles </w:t>
      </w:r>
      <w:r w:rsidR="00E76883">
        <w:rPr>
          <w:color w:val="000000" w:themeColor="text1"/>
        </w:rPr>
        <w:t>É</w:t>
      </w:r>
      <w:r w:rsidR="00E76883" w:rsidRPr="00250E9C">
        <w:rPr>
          <w:color w:val="000000" w:themeColor="text1"/>
        </w:rPr>
        <w:t>conomie</w:t>
      </w:r>
      <w:r w:rsidRPr="00250E9C">
        <w:rPr>
          <w:color w:val="000000" w:themeColor="text1"/>
        </w:rPr>
        <w:t xml:space="preserve"> </w:t>
      </w:r>
      <w:r w:rsidR="00E76883">
        <w:rPr>
          <w:color w:val="000000" w:themeColor="text1"/>
        </w:rPr>
        <w:t>E</w:t>
      </w:r>
      <w:r w:rsidRPr="00250E9C">
        <w:rPr>
          <w:color w:val="000000" w:themeColor="text1"/>
        </w:rPr>
        <w:t>mploi vérifie l’éligibilité à l’agrément et le CCES</w:t>
      </w:r>
      <w:r w:rsidRPr="00250E9C">
        <w:rPr>
          <w:color w:val="000000" w:themeColor="text1"/>
          <w:vertAlign w:val="superscript"/>
        </w:rPr>
        <w:footnoteReference w:id="5"/>
      </w:r>
      <w:r w:rsidRPr="00250E9C">
        <w:rPr>
          <w:color w:val="000000" w:themeColor="text1"/>
        </w:rPr>
        <w:t xml:space="preserve"> émet un avis sur base des troi</w:t>
      </w:r>
      <w:r w:rsidR="00D927B8" w:rsidRPr="00250E9C">
        <w:rPr>
          <w:color w:val="000000" w:themeColor="text1"/>
        </w:rPr>
        <w:t>s principes de l’économie sociale</w:t>
      </w:r>
      <w:r w:rsidRPr="00250E9C">
        <w:rPr>
          <w:color w:val="000000" w:themeColor="text1"/>
        </w:rPr>
        <w:t xml:space="preserve"> précisés dans l’Ordonnance du 23 juillet 2018 :</w:t>
      </w:r>
    </w:p>
    <w:p w14:paraId="35FD3E5C" w14:textId="475A8556" w:rsidR="007A5D72" w:rsidRDefault="002F31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ahoma"/>
          <w:color w:val="000000"/>
        </w:rPr>
      </w:pPr>
      <w:r>
        <w:rPr>
          <w:rFonts w:eastAsia="Tahoma"/>
          <w:color w:val="000000"/>
        </w:rPr>
        <w:lastRenderedPageBreak/>
        <w:t>Mise en œuvre d’un projet économique</w:t>
      </w:r>
    </w:p>
    <w:p w14:paraId="4F4E14CE" w14:textId="357FE054" w:rsidR="007A5D72" w:rsidRDefault="002F31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>Poursuite d’une finalité sociale</w:t>
      </w:r>
    </w:p>
    <w:p w14:paraId="01810452" w14:textId="2B86BF8F" w:rsidR="007A5D72" w:rsidRDefault="002F31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eastAsia="Tahoma"/>
          <w:color w:val="000000"/>
        </w:rPr>
      </w:pPr>
      <w:r>
        <w:rPr>
          <w:rFonts w:eastAsia="Tahoma"/>
          <w:color w:val="000000"/>
        </w:rPr>
        <w:t>Exercice d’une gouvernance démocratique</w:t>
      </w:r>
    </w:p>
    <w:p w14:paraId="4D8F7D54" w14:textId="77777777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>La décision d’octroyer ou non l’agrément à la structure est prise par le Ministre de l’Emploi.</w:t>
      </w:r>
    </w:p>
    <w:p w14:paraId="14C7DA8F" w14:textId="1374AAE3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Une fois agréées, ces structures peuvent répondre à l’appel à candidature </w:t>
      </w:r>
      <w:r w:rsidR="00E76883">
        <w:rPr>
          <w:color w:val="000000" w:themeColor="text1"/>
        </w:rPr>
        <w:t xml:space="preserve">lancé par le Ministre de l’emploi </w:t>
      </w:r>
      <w:r w:rsidRPr="00250E9C">
        <w:rPr>
          <w:color w:val="000000" w:themeColor="text1"/>
        </w:rPr>
        <w:t>et présenter un programme d’insertion pour un public cible éloigné du marché du travail. Celui-ci fait l’objet d’un avis d’Actiris et du CCES</w:t>
      </w:r>
      <w:r w:rsidR="00D927B8" w:rsidRPr="00250E9C">
        <w:rPr>
          <w:color w:val="000000" w:themeColor="text1"/>
        </w:rPr>
        <w:t> ;</w:t>
      </w:r>
      <w:r w:rsidRPr="00250E9C">
        <w:rPr>
          <w:color w:val="000000" w:themeColor="text1"/>
        </w:rPr>
        <w:t xml:space="preserve"> la décision de mandatement est prise par le Ministre de l’emploi.</w:t>
      </w:r>
    </w:p>
    <w:p w14:paraId="52185320" w14:textId="462AE910" w:rsidR="007A5D72" w:rsidRPr="00250E9C" w:rsidRDefault="00E76883">
      <w:pPr>
        <w:rPr>
          <w:color w:val="000000" w:themeColor="text1"/>
        </w:rPr>
      </w:pPr>
      <w:r>
        <w:rPr>
          <w:color w:val="000000" w:themeColor="text1"/>
        </w:rPr>
        <w:t>L’</w:t>
      </w:r>
      <w:r w:rsidR="00F10B76" w:rsidRPr="00250E9C">
        <w:rPr>
          <w:color w:val="000000" w:themeColor="text1"/>
        </w:rPr>
        <w:t xml:space="preserve">arrêté du 16 mai 2019 précise le cadre du mandatement en insertion. Il s’agit de la </w:t>
      </w:r>
      <w:r w:rsidR="00F10B76" w:rsidRPr="00250E9C">
        <w:rPr>
          <w:b/>
          <w:color w:val="000000" w:themeColor="text1"/>
        </w:rPr>
        <w:t>mise en œuvre d’un programme d’insertion pour un public cible éloigné du marché de l’emploi. La mise en place de ce programme d’insertion constitue un service d’intérêt économique général (SIEG)</w:t>
      </w:r>
      <w:r w:rsidR="00F10B76" w:rsidRPr="00250E9C">
        <w:rPr>
          <w:color w:val="000000" w:themeColor="text1"/>
        </w:rPr>
        <w:t>. Ce</w:t>
      </w:r>
      <w:r>
        <w:rPr>
          <w:color w:val="000000" w:themeColor="text1"/>
        </w:rPr>
        <w:t xml:space="preserve"> dernier</w:t>
      </w:r>
      <w:r w:rsidR="00F10B76" w:rsidRPr="00250E9C">
        <w:rPr>
          <w:color w:val="000000" w:themeColor="text1"/>
        </w:rPr>
        <w:t xml:space="preserve"> fait l’objet d’une compensation </w:t>
      </w:r>
      <w:r w:rsidR="002F31CF">
        <w:rPr>
          <w:color w:val="000000" w:themeColor="text1"/>
        </w:rPr>
        <w:t>destinée à couvrir</w:t>
      </w:r>
      <w:r w:rsidR="00F10B76" w:rsidRPr="00250E9C">
        <w:rPr>
          <w:color w:val="000000" w:themeColor="text1"/>
        </w:rPr>
        <w:t xml:space="preserve"> une partie des frais liés à l’encadrement du public cible (principalement les frais salariaux des encadrants) mais ne finance pas les coûts salariaux du public cible.</w:t>
      </w:r>
    </w:p>
    <w:p w14:paraId="0A39CECA" w14:textId="77777777" w:rsidR="007A5D72" w:rsidRDefault="0094704A" w:rsidP="00C35175">
      <w:pPr>
        <w:pStyle w:val="Kop1"/>
        <w:numPr>
          <w:ilvl w:val="0"/>
          <w:numId w:val="16"/>
        </w:numPr>
      </w:pPr>
      <w:r>
        <w:t>Contour ANM ESMI</w:t>
      </w:r>
    </w:p>
    <w:p w14:paraId="49748FC9" w14:textId="27B1CDA6" w:rsidR="007F7880" w:rsidRPr="007F7880" w:rsidRDefault="007F7880" w:rsidP="00C35175">
      <w:pPr>
        <w:pStyle w:val="Kop2"/>
      </w:pPr>
      <w:r>
        <w:t>Les Structures</w:t>
      </w:r>
    </w:p>
    <w:p w14:paraId="66BEDEE4" w14:textId="1671549B" w:rsidR="007A5D72" w:rsidRPr="00250E9C" w:rsidRDefault="007F7880">
      <w:pPr>
        <w:rPr>
          <w:color w:val="000000" w:themeColor="text1"/>
        </w:rPr>
      </w:pPr>
      <w:r w:rsidRPr="00250E9C">
        <w:rPr>
          <w:color w:val="000000" w:themeColor="text1"/>
        </w:rPr>
        <w:t xml:space="preserve">Afin d’être intégrées dans l’ANM ESMI 2021/2024, les structures doivent répondre aux conditions suivantes : </w:t>
      </w:r>
    </w:p>
    <w:p w14:paraId="02BAC650" w14:textId="2560A184" w:rsidR="00A06547" w:rsidRPr="00A06547" w:rsidRDefault="0069672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>
        <w:rPr>
          <w:rFonts w:eastAsia="Tahoma"/>
          <w:color w:val="000000" w:themeColor="text1"/>
        </w:rPr>
        <w:t>Gérer</w:t>
      </w:r>
      <w:r w:rsidR="0094704A" w:rsidRPr="00250E9C">
        <w:rPr>
          <w:rFonts w:eastAsia="Tahoma"/>
          <w:color w:val="000000" w:themeColor="text1"/>
        </w:rPr>
        <w:t xml:space="preserve"> un service d’intérêt général. </w:t>
      </w:r>
    </w:p>
    <w:p w14:paraId="4379C3EB" w14:textId="1CE9599D" w:rsidR="007A5D72" w:rsidRPr="00250E9C" w:rsidRDefault="0094704A" w:rsidP="00A06547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color w:val="000000" w:themeColor="text1"/>
        </w:rPr>
      </w:pPr>
      <w:r w:rsidRPr="00250E9C">
        <w:rPr>
          <w:rFonts w:eastAsia="Tahoma"/>
          <w:color w:val="000000" w:themeColor="text1"/>
        </w:rPr>
        <w:t>C’est le cas de</w:t>
      </w:r>
      <w:r w:rsidR="007F7880" w:rsidRPr="00250E9C">
        <w:rPr>
          <w:rFonts w:eastAsia="Tahoma"/>
          <w:color w:val="000000" w:themeColor="text1"/>
        </w:rPr>
        <w:t>s E</w:t>
      </w:r>
      <w:r w:rsidRPr="00250E9C">
        <w:rPr>
          <w:rFonts w:eastAsia="Tahoma"/>
          <w:color w:val="000000" w:themeColor="text1"/>
        </w:rPr>
        <w:t xml:space="preserve">SMI qui </w:t>
      </w:r>
      <w:r w:rsidR="007F7880" w:rsidRPr="00250E9C">
        <w:rPr>
          <w:rFonts w:eastAsia="Tahoma"/>
          <w:color w:val="000000" w:themeColor="text1"/>
        </w:rPr>
        <w:t xml:space="preserve">sont </w:t>
      </w:r>
      <w:r w:rsidRPr="00250E9C">
        <w:rPr>
          <w:rFonts w:eastAsia="Tahoma"/>
          <w:color w:val="000000" w:themeColor="text1"/>
        </w:rPr>
        <w:t>mandaté</w:t>
      </w:r>
      <w:r w:rsidR="007F7880" w:rsidRPr="00250E9C">
        <w:rPr>
          <w:rFonts w:eastAsia="Tahoma"/>
          <w:color w:val="000000" w:themeColor="text1"/>
        </w:rPr>
        <w:t>es</w:t>
      </w:r>
      <w:r w:rsidRPr="00250E9C">
        <w:rPr>
          <w:rFonts w:eastAsia="Tahoma"/>
          <w:color w:val="000000" w:themeColor="text1"/>
        </w:rPr>
        <w:t xml:space="preserve"> pour </w:t>
      </w:r>
      <w:r w:rsidR="00696727">
        <w:rPr>
          <w:rFonts w:eastAsia="Tahoma"/>
          <w:color w:val="000000" w:themeColor="text1"/>
        </w:rPr>
        <w:t>gérer</w:t>
      </w:r>
      <w:r w:rsidRPr="00250E9C">
        <w:rPr>
          <w:rFonts w:eastAsia="Tahoma"/>
          <w:color w:val="000000" w:themeColor="text1"/>
        </w:rPr>
        <w:t xml:space="preserve"> un </w:t>
      </w:r>
      <w:r w:rsidRPr="00250E9C">
        <w:rPr>
          <w:rFonts w:eastAsia="Tahoma"/>
          <w:b/>
          <w:color w:val="000000" w:themeColor="text1"/>
        </w:rPr>
        <w:t>SIEG</w:t>
      </w:r>
      <w:r w:rsidRPr="00250E9C">
        <w:rPr>
          <w:rFonts w:eastAsia="Tahoma"/>
          <w:color w:val="000000" w:themeColor="text1"/>
        </w:rPr>
        <w:t xml:space="preserve"> </w:t>
      </w:r>
      <w:r w:rsidR="007F7880" w:rsidRPr="00250E9C">
        <w:rPr>
          <w:rFonts w:eastAsia="Tahoma"/>
          <w:color w:val="000000" w:themeColor="text1"/>
        </w:rPr>
        <w:t>via un</w:t>
      </w:r>
      <w:r w:rsidRPr="00250E9C">
        <w:rPr>
          <w:rFonts w:eastAsia="Tahoma"/>
          <w:color w:val="000000" w:themeColor="text1"/>
        </w:rPr>
        <w:t xml:space="preserve"> programme d’insertion ;</w:t>
      </w:r>
    </w:p>
    <w:p w14:paraId="315DE836" w14:textId="6765D27A" w:rsidR="007A5D72" w:rsidRPr="00250E9C" w:rsidRDefault="0094704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250E9C">
        <w:rPr>
          <w:rFonts w:eastAsia="Tahoma"/>
          <w:color w:val="000000" w:themeColor="text1"/>
        </w:rPr>
        <w:t>Être sous statut d’association sans but lucratif (</w:t>
      </w:r>
      <w:r w:rsidRPr="00250E9C">
        <w:rPr>
          <w:rFonts w:eastAsia="Tahoma"/>
          <w:b/>
          <w:color w:val="000000" w:themeColor="text1"/>
        </w:rPr>
        <w:t>asbl</w:t>
      </w:r>
      <w:r w:rsidRPr="00250E9C">
        <w:rPr>
          <w:rFonts w:eastAsia="Tahoma"/>
          <w:color w:val="000000" w:themeColor="text1"/>
        </w:rPr>
        <w:t>)</w:t>
      </w:r>
      <w:r w:rsidR="007F7880" w:rsidRPr="00250E9C">
        <w:rPr>
          <w:rFonts w:eastAsia="Tahoma"/>
          <w:color w:val="000000" w:themeColor="text1"/>
        </w:rPr>
        <w:t xml:space="preserve">, à savoir </w:t>
      </w:r>
      <w:r w:rsidRPr="00250E9C">
        <w:rPr>
          <w:rFonts w:eastAsia="Tahoma"/>
          <w:color w:val="000000" w:themeColor="text1"/>
        </w:rPr>
        <w:t>poursuivre un but désintéressé ;</w:t>
      </w:r>
    </w:p>
    <w:p w14:paraId="3B0B4710" w14:textId="77777777" w:rsidR="00A06547" w:rsidRPr="00A06547" w:rsidRDefault="00250E9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250E9C">
        <w:rPr>
          <w:rFonts w:eastAsia="Tahoma"/>
          <w:b/>
          <w:color w:val="000000" w:themeColor="text1"/>
        </w:rPr>
        <w:t>Être</w:t>
      </w:r>
      <w:r w:rsidR="007F7880" w:rsidRPr="00250E9C">
        <w:rPr>
          <w:rFonts w:eastAsia="Tahoma"/>
          <w:b/>
          <w:color w:val="000000" w:themeColor="text1"/>
        </w:rPr>
        <w:t xml:space="preserve"> agréées en qualité d’</w:t>
      </w:r>
      <w:r w:rsidRPr="00250E9C">
        <w:rPr>
          <w:rFonts w:eastAsia="Tahoma"/>
          <w:b/>
          <w:color w:val="000000" w:themeColor="text1"/>
        </w:rPr>
        <w:t xml:space="preserve">IPES 3 </w:t>
      </w:r>
      <w:r w:rsidR="007F7880" w:rsidRPr="00250E9C">
        <w:rPr>
          <w:rFonts w:eastAsia="Tahoma"/>
          <w:b/>
          <w:color w:val="000000" w:themeColor="text1"/>
        </w:rPr>
        <w:t xml:space="preserve">ou d’ </w:t>
      </w:r>
      <w:r w:rsidRPr="00250E9C">
        <w:rPr>
          <w:b/>
          <w:color w:val="000000" w:themeColor="text1"/>
        </w:rPr>
        <w:t>ESD</w:t>
      </w:r>
      <w:r w:rsidR="007F7880" w:rsidRPr="00250E9C">
        <w:rPr>
          <w:rFonts w:eastAsia="Tahoma"/>
          <w:color w:val="000000" w:themeColor="text1"/>
        </w:rPr>
        <w:t xml:space="preserve">. </w:t>
      </w:r>
    </w:p>
    <w:p w14:paraId="7AA23149" w14:textId="47FFCA93" w:rsidR="007A5D72" w:rsidRPr="00250E9C" w:rsidRDefault="007F7880" w:rsidP="00BA032B">
      <w:r w:rsidRPr="00250E9C">
        <w:t>Ne sont donc pas comprises les organisations créées par les pouvoirs publics et qui bénéficient de conditions de travail et des financements spécifiques.</w:t>
      </w:r>
    </w:p>
    <w:p w14:paraId="5848165D" w14:textId="4616DC03" w:rsidR="007F7880" w:rsidRDefault="007F7880" w:rsidP="00C35175">
      <w:pPr>
        <w:pStyle w:val="Kop2"/>
      </w:pPr>
      <w:r>
        <w:t>Les Fonctions</w:t>
      </w:r>
    </w:p>
    <w:p w14:paraId="69AE079E" w14:textId="77777777" w:rsidR="008D4C60" w:rsidRDefault="008D4C60">
      <w:pPr>
        <w:rPr>
          <w:color w:val="000000" w:themeColor="text1"/>
        </w:rPr>
      </w:pPr>
      <w:r w:rsidRPr="008D4C60">
        <w:rPr>
          <w:color w:val="000000" w:themeColor="text1"/>
        </w:rPr>
        <w:t xml:space="preserve">Concernant les </w:t>
      </w:r>
      <w:r w:rsidRPr="008D4C60">
        <w:rPr>
          <w:b/>
          <w:bCs/>
          <w:color w:val="000000" w:themeColor="text1"/>
        </w:rPr>
        <w:t>fonctions éligibles</w:t>
      </w:r>
      <w:r w:rsidRPr="008D4C60">
        <w:rPr>
          <w:color w:val="000000" w:themeColor="text1"/>
        </w:rPr>
        <w:t xml:space="preserve"> à l’ANM ESMI, il s’agirait du </w:t>
      </w:r>
      <w:r w:rsidRPr="008D4C60">
        <w:rPr>
          <w:b/>
          <w:bCs/>
          <w:color w:val="000000" w:themeColor="text1"/>
        </w:rPr>
        <w:t>personnel encadrant</w:t>
      </w:r>
      <w:r>
        <w:rPr>
          <w:color w:val="000000" w:themeColor="text1"/>
        </w:rPr>
        <w:t>.</w:t>
      </w:r>
    </w:p>
    <w:p w14:paraId="16EEF4BC" w14:textId="7DF6FD54" w:rsidR="007A5D72" w:rsidRPr="00250E9C" w:rsidRDefault="008D4C60">
      <w:pPr>
        <w:rPr>
          <w:color w:val="000000" w:themeColor="text1"/>
        </w:rPr>
      </w:pPr>
      <w:r w:rsidRPr="008D4C60">
        <w:rPr>
          <w:color w:val="000000" w:themeColor="text1"/>
        </w:rPr>
        <w:t xml:space="preserve">Ce personnel regroupe des encadrants en </w:t>
      </w:r>
      <w:r w:rsidRPr="008D4C60">
        <w:rPr>
          <w:b/>
          <w:bCs/>
          <w:color w:val="000000" w:themeColor="text1"/>
        </w:rPr>
        <w:t>contact direct avec le public-cible</w:t>
      </w:r>
      <w:r w:rsidRPr="008D4C60">
        <w:rPr>
          <w:color w:val="000000" w:themeColor="text1"/>
        </w:rPr>
        <w:t xml:space="preserve"> (encadrement social et/ou professionnel) et des </w:t>
      </w:r>
      <w:r w:rsidRPr="008D4C60">
        <w:rPr>
          <w:b/>
          <w:bCs/>
          <w:color w:val="000000" w:themeColor="text1"/>
        </w:rPr>
        <w:t>encadrants du projet ESMI</w:t>
      </w:r>
      <w:r w:rsidRPr="008D4C60">
        <w:rPr>
          <w:color w:val="000000" w:themeColor="text1"/>
        </w:rPr>
        <w:t xml:space="preserve"> nécessaires à </w:t>
      </w:r>
      <w:r w:rsidR="00596C3E">
        <w:rPr>
          <w:color w:val="000000" w:themeColor="text1"/>
        </w:rPr>
        <w:t>l</w:t>
      </w:r>
      <w:r w:rsidRPr="008D4C60">
        <w:rPr>
          <w:color w:val="000000" w:themeColor="text1"/>
        </w:rPr>
        <w:t xml:space="preserve">a mise en œuvre </w:t>
      </w:r>
      <w:r w:rsidR="00596C3E">
        <w:rPr>
          <w:color w:val="000000" w:themeColor="text1"/>
        </w:rPr>
        <w:t xml:space="preserve">du projet </w:t>
      </w:r>
      <w:r w:rsidRPr="008D4C60">
        <w:rPr>
          <w:color w:val="000000" w:themeColor="text1"/>
        </w:rPr>
        <w:t xml:space="preserve">(fonctions support proratisées selon le temps de travail </w:t>
      </w:r>
      <w:r>
        <w:rPr>
          <w:color w:val="000000" w:themeColor="text1"/>
        </w:rPr>
        <w:t xml:space="preserve">sur le projet </w:t>
      </w:r>
      <w:r w:rsidRPr="008D4C60">
        <w:rPr>
          <w:color w:val="000000" w:themeColor="text1"/>
        </w:rPr>
        <w:t>ESMI).</w:t>
      </w:r>
    </w:p>
    <w:p w14:paraId="07377316" w14:textId="77777777" w:rsidR="00EC71F4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La FeBISP a assuré l’estimation du budget prévisionnel pour ses membres. </w:t>
      </w:r>
      <w:r w:rsidR="00696727">
        <w:rPr>
          <w:color w:val="000000" w:themeColor="text1"/>
        </w:rPr>
        <w:t>Cela concerne</w:t>
      </w:r>
      <w:r w:rsidRPr="00250E9C">
        <w:rPr>
          <w:color w:val="000000" w:themeColor="text1"/>
        </w:rPr>
        <w:t xml:space="preserve"> </w:t>
      </w:r>
      <w:r w:rsidRPr="00250E9C">
        <w:rPr>
          <w:b/>
          <w:color w:val="000000" w:themeColor="text1"/>
        </w:rPr>
        <w:t>43 projets ESMI</w:t>
      </w:r>
      <w:r w:rsidRPr="00250E9C">
        <w:rPr>
          <w:color w:val="000000" w:themeColor="text1"/>
        </w:rPr>
        <w:t xml:space="preserve">, auxquels correspondent, selon </w:t>
      </w:r>
      <w:r w:rsidR="00A06547">
        <w:rPr>
          <w:color w:val="000000" w:themeColor="text1"/>
        </w:rPr>
        <w:t>ses</w:t>
      </w:r>
      <w:r w:rsidRPr="00250E9C">
        <w:rPr>
          <w:color w:val="000000" w:themeColor="text1"/>
        </w:rPr>
        <w:t xml:space="preserve"> cadastres, </w:t>
      </w:r>
      <w:r w:rsidRPr="00250E9C">
        <w:rPr>
          <w:b/>
          <w:color w:val="000000" w:themeColor="text1"/>
        </w:rPr>
        <w:t>200 ETP encadrants ESMI</w:t>
      </w:r>
      <w:r w:rsidRPr="00250E9C">
        <w:rPr>
          <w:color w:val="000000" w:themeColor="text1"/>
        </w:rPr>
        <w:t xml:space="preserve">. </w:t>
      </w:r>
    </w:p>
    <w:p w14:paraId="440F1B3A" w14:textId="7C529552" w:rsidR="007F7880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Les partenaires néerlandophones </w:t>
      </w:r>
      <w:r w:rsidR="007F7880" w:rsidRPr="00250E9C">
        <w:rPr>
          <w:color w:val="000000" w:themeColor="text1"/>
        </w:rPr>
        <w:t>feront</w:t>
      </w:r>
      <w:r w:rsidRPr="00250E9C">
        <w:rPr>
          <w:color w:val="000000" w:themeColor="text1"/>
        </w:rPr>
        <w:t xml:space="preserve"> </w:t>
      </w:r>
      <w:r w:rsidR="007F7880" w:rsidRPr="00250E9C">
        <w:rPr>
          <w:color w:val="000000" w:themeColor="text1"/>
        </w:rPr>
        <w:t xml:space="preserve">également </w:t>
      </w:r>
      <w:r w:rsidRPr="00250E9C">
        <w:rPr>
          <w:color w:val="000000" w:themeColor="text1"/>
        </w:rPr>
        <w:t xml:space="preserve">une estimation </w:t>
      </w:r>
      <w:r w:rsidR="007F7880" w:rsidRPr="00250E9C">
        <w:rPr>
          <w:color w:val="000000" w:themeColor="text1"/>
        </w:rPr>
        <w:t>pour leurs membres</w:t>
      </w:r>
      <w:r w:rsidRPr="00250E9C">
        <w:rPr>
          <w:color w:val="000000" w:themeColor="text1"/>
        </w:rPr>
        <w:t xml:space="preserve">. </w:t>
      </w:r>
    </w:p>
    <w:p w14:paraId="4E86061E" w14:textId="6265D4C5" w:rsidR="00EC71F4" w:rsidRDefault="007F7880">
      <w:pPr>
        <w:rPr>
          <w:color w:val="000000" w:themeColor="text1"/>
        </w:rPr>
      </w:pPr>
      <w:r w:rsidRPr="00AE7C72">
        <w:rPr>
          <w:color w:val="000000" w:themeColor="text1"/>
        </w:rPr>
        <w:t xml:space="preserve">L’estimation réalisée par Bruxelles </w:t>
      </w:r>
      <w:r w:rsidR="00EC71F4" w:rsidRPr="00AE7C72">
        <w:rPr>
          <w:color w:val="000000" w:themeColor="text1"/>
        </w:rPr>
        <w:t>Économie</w:t>
      </w:r>
      <w:r w:rsidRPr="00AE7C72">
        <w:rPr>
          <w:color w:val="000000" w:themeColor="text1"/>
        </w:rPr>
        <w:t xml:space="preserve"> Emploi s’élève à 396,03 ETP </w:t>
      </w:r>
      <w:r w:rsidR="00AE7C72" w:rsidRPr="00AE7C72">
        <w:rPr>
          <w:color w:val="000000" w:themeColor="text1"/>
        </w:rPr>
        <w:t>pour 2023</w:t>
      </w:r>
      <w:r w:rsidRPr="00AE7C72">
        <w:rPr>
          <w:color w:val="000000" w:themeColor="text1"/>
        </w:rPr>
        <w:t xml:space="preserve">. </w:t>
      </w:r>
      <w:r w:rsidR="002319A9">
        <w:rPr>
          <w:color w:val="000000" w:themeColor="text1"/>
        </w:rPr>
        <w:t>Attention, plus d’informations sont nécessaires sur les travailleurs pris en compte dans cette estimation. Par exemple, ces chiffres se limitent-ils aux encadrants sociaux et professionnels financés par la compensation relative au mandat ?</w:t>
      </w:r>
    </w:p>
    <w:p w14:paraId="682F7CA7" w14:textId="2FAB025A" w:rsidR="007A5D72" w:rsidRPr="00250E9C" w:rsidRDefault="007F7880">
      <w:pPr>
        <w:rPr>
          <w:color w:val="000000" w:themeColor="text1"/>
        </w:rPr>
      </w:pPr>
      <w:r w:rsidRPr="00AE7C72">
        <w:rPr>
          <w:color w:val="000000" w:themeColor="text1"/>
        </w:rPr>
        <w:t xml:space="preserve">Il faudra </w:t>
      </w:r>
      <w:r w:rsidR="00AE7C72" w:rsidRPr="00AE7C72">
        <w:rPr>
          <w:color w:val="000000" w:themeColor="text1"/>
        </w:rPr>
        <w:t>adapter</w:t>
      </w:r>
      <w:r w:rsidRPr="00AE7C72">
        <w:rPr>
          <w:color w:val="000000" w:themeColor="text1"/>
        </w:rPr>
        <w:t xml:space="preserve"> l’enveloppe en conséquence </w:t>
      </w:r>
      <w:r w:rsidR="00AE7C72" w:rsidRPr="00AE7C72">
        <w:rPr>
          <w:color w:val="000000" w:themeColor="text1"/>
        </w:rPr>
        <w:t>du</w:t>
      </w:r>
      <w:r w:rsidRPr="00AE7C72">
        <w:rPr>
          <w:color w:val="000000" w:themeColor="text1"/>
        </w:rPr>
        <w:t xml:space="preserve"> cadastre mis à jour</w:t>
      </w:r>
      <w:r w:rsidR="00AE7C72" w:rsidRPr="00AE7C72">
        <w:rPr>
          <w:color w:val="000000" w:themeColor="text1"/>
        </w:rPr>
        <w:t xml:space="preserve"> (données BEE, FeBIO et FeBISP)</w:t>
      </w:r>
      <w:r w:rsidRPr="00AE7C72">
        <w:rPr>
          <w:color w:val="000000" w:themeColor="text1"/>
        </w:rPr>
        <w:t>. </w:t>
      </w:r>
    </w:p>
    <w:p w14:paraId="00CE00E4" w14:textId="484BF99F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>Ces critères d’identification et l’inventaire des ESMI concernées constituent une base de discussion sur l’intégration dans l</w:t>
      </w:r>
      <w:r w:rsidR="007F7880" w:rsidRPr="00250E9C">
        <w:rPr>
          <w:color w:val="000000" w:themeColor="text1"/>
        </w:rPr>
        <w:t xml:space="preserve">es </w:t>
      </w:r>
      <w:r w:rsidRPr="00250E9C">
        <w:rPr>
          <w:color w:val="000000" w:themeColor="text1"/>
        </w:rPr>
        <w:t xml:space="preserve">ANM </w:t>
      </w:r>
      <w:r w:rsidR="007F7880" w:rsidRPr="00250E9C">
        <w:rPr>
          <w:color w:val="000000" w:themeColor="text1"/>
        </w:rPr>
        <w:t xml:space="preserve">régionaux </w:t>
      </w:r>
      <w:r w:rsidRPr="00250E9C">
        <w:rPr>
          <w:color w:val="000000" w:themeColor="text1"/>
        </w:rPr>
        <w:t>des travailleurs des ASBL effectuant des missions</w:t>
      </w:r>
      <w:r w:rsidR="00EC71F4">
        <w:rPr>
          <w:color w:val="000000" w:themeColor="text1"/>
        </w:rPr>
        <w:t xml:space="preserve"> relatives à l’</w:t>
      </w:r>
      <w:r w:rsidRPr="00250E9C">
        <w:rPr>
          <w:color w:val="000000" w:themeColor="text1"/>
        </w:rPr>
        <w:t>économie sociale d’insertion</w:t>
      </w:r>
      <w:r w:rsidR="00A06547">
        <w:rPr>
          <w:color w:val="000000" w:themeColor="text1"/>
        </w:rPr>
        <w:t>. Il s’agit d’</w:t>
      </w:r>
      <w:r w:rsidRPr="00250E9C">
        <w:rPr>
          <w:color w:val="000000" w:themeColor="text1"/>
        </w:rPr>
        <w:t xml:space="preserve">envisager </w:t>
      </w:r>
      <w:proofErr w:type="spellStart"/>
      <w:r w:rsidR="00A06547" w:rsidRPr="00A06547">
        <w:rPr>
          <w:i/>
          <w:iCs/>
          <w:color w:val="000000" w:themeColor="text1"/>
        </w:rPr>
        <w:t>infine</w:t>
      </w:r>
      <w:proofErr w:type="spellEnd"/>
      <w:r w:rsidR="00A06547">
        <w:rPr>
          <w:color w:val="000000" w:themeColor="text1"/>
        </w:rPr>
        <w:t xml:space="preserve"> </w:t>
      </w:r>
      <w:r w:rsidRPr="00250E9C">
        <w:rPr>
          <w:color w:val="000000" w:themeColor="text1"/>
        </w:rPr>
        <w:t>des mesures spécifiques au regard de l’enveloppe disponible.</w:t>
      </w:r>
    </w:p>
    <w:p w14:paraId="7A04E5B8" w14:textId="3C1D5011" w:rsidR="007A5D72" w:rsidRDefault="0094704A" w:rsidP="00C35175">
      <w:pPr>
        <w:pStyle w:val="Kop1"/>
        <w:numPr>
          <w:ilvl w:val="0"/>
          <w:numId w:val="17"/>
        </w:numPr>
      </w:pPr>
      <w:r>
        <w:lastRenderedPageBreak/>
        <w:t xml:space="preserve">Répartition budgétaire pour les membres de la FeBISP </w:t>
      </w:r>
    </w:p>
    <w:p w14:paraId="28EDBB35" w14:textId="3DDDA025" w:rsidR="007A5D72" w:rsidRPr="00250E9C" w:rsidRDefault="0094704A">
      <w:pPr>
        <w:rPr>
          <w:color w:val="000000" w:themeColor="text1"/>
        </w:rPr>
      </w:pPr>
      <w:r w:rsidRPr="00250E9C">
        <w:rPr>
          <w:b/>
          <w:color w:val="000000" w:themeColor="text1"/>
        </w:rPr>
        <w:t xml:space="preserve">Nous proposons d’octroyer une </w:t>
      </w:r>
      <w:r w:rsidRPr="00AE7C72">
        <w:rPr>
          <w:b/>
          <w:color w:val="000000" w:themeColor="text1"/>
        </w:rPr>
        <w:t>PFA</w:t>
      </w:r>
      <w:r w:rsidR="007F7880" w:rsidRPr="00AE7C72">
        <w:rPr>
          <w:b/>
          <w:color w:val="000000" w:themeColor="text1"/>
        </w:rPr>
        <w:t xml:space="preserve"> ou une </w:t>
      </w:r>
      <w:r w:rsidRPr="00AE7C72">
        <w:rPr>
          <w:b/>
          <w:color w:val="000000" w:themeColor="text1"/>
        </w:rPr>
        <w:t>Prime unique (PU) durant cette première année 2023 encadrée par une</w:t>
      </w:r>
      <w:r w:rsidR="007F7880" w:rsidRPr="00AE7C72">
        <w:rPr>
          <w:b/>
          <w:color w:val="000000" w:themeColor="text1"/>
        </w:rPr>
        <w:t xml:space="preserve"> Convention collective de travail </w:t>
      </w:r>
      <w:r w:rsidRPr="00AE7C72">
        <w:rPr>
          <w:b/>
          <w:color w:val="000000" w:themeColor="text1"/>
        </w:rPr>
        <w:t>spécifique</w:t>
      </w:r>
      <w:r w:rsidRPr="00250E9C">
        <w:rPr>
          <w:b/>
          <w:color w:val="000000" w:themeColor="text1"/>
        </w:rPr>
        <w:t xml:space="preserve"> au secteur ESMI ANM</w:t>
      </w:r>
      <w:r w:rsidRPr="00250E9C">
        <w:rPr>
          <w:color w:val="000000" w:themeColor="text1"/>
        </w:rPr>
        <w:t>.</w:t>
      </w:r>
    </w:p>
    <w:p w14:paraId="4333ACC1" w14:textId="77777777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>Nous avons fait une estimation budgétaire pour la partie 1 de la PFA :</w:t>
      </w:r>
    </w:p>
    <w:p w14:paraId="30775369" w14:textId="77777777" w:rsidR="007A5D72" w:rsidRPr="00250E9C" w:rsidRDefault="009470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ahoma"/>
          <w:b/>
          <w:color w:val="000000" w:themeColor="text1"/>
        </w:rPr>
      </w:pPr>
      <w:r w:rsidRPr="00250E9C">
        <w:rPr>
          <w:rFonts w:eastAsia="Tahoma"/>
          <w:b/>
          <w:color w:val="000000" w:themeColor="text1"/>
        </w:rPr>
        <w:t xml:space="preserve">Année 2023, pour les membres de la FeBISP sur base du périmètre proposé et du budget réservé 2023 : 200 ETP * 1095 euros = 219 </w:t>
      </w:r>
      <w:r w:rsidRPr="00250E9C">
        <w:rPr>
          <w:b/>
          <w:color w:val="000000" w:themeColor="text1"/>
        </w:rPr>
        <w:t>5</w:t>
      </w:r>
      <w:r w:rsidRPr="00250E9C">
        <w:rPr>
          <w:rFonts w:eastAsia="Tahoma"/>
          <w:b/>
          <w:color w:val="000000" w:themeColor="text1"/>
        </w:rPr>
        <w:t xml:space="preserve">00 euros. </w:t>
      </w:r>
    </w:p>
    <w:p w14:paraId="6CC7C12D" w14:textId="77777777" w:rsidR="007A5D72" w:rsidRPr="00250E9C" w:rsidRDefault="009470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eastAsia="Tahoma"/>
          <w:b/>
          <w:color w:val="000000" w:themeColor="text1"/>
        </w:rPr>
      </w:pPr>
      <w:r w:rsidRPr="00250E9C">
        <w:rPr>
          <w:rFonts w:eastAsia="Tahoma"/>
          <w:b/>
          <w:color w:val="000000" w:themeColor="text1"/>
        </w:rPr>
        <w:t>Année 2024, pour les membres de la FeBISP sur base du périmètre proposé et du budget réservé 2024 : 200 ETP * 2000 euros = 400 000 euros.</w:t>
      </w:r>
    </w:p>
    <w:p w14:paraId="464AD9FA" w14:textId="33C16CDA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Tant qu’il n’y a pas d’accord </w:t>
      </w:r>
      <w:r w:rsidR="00A06547">
        <w:rPr>
          <w:color w:val="000000" w:themeColor="text1"/>
        </w:rPr>
        <w:t>sur</w:t>
      </w:r>
      <w:r w:rsidRPr="00250E9C">
        <w:rPr>
          <w:color w:val="000000" w:themeColor="text1"/>
        </w:rPr>
        <w:t xml:space="preserve"> l’utilisation de l’enveloppe prévue pour la mobilité des travailleurs</w:t>
      </w:r>
      <w:r w:rsidR="00EF781F">
        <w:rPr>
          <w:color w:val="000000" w:themeColor="text1"/>
        </w:rPr>
        <w:t xml:space="preserve"> </w:t>
      </w:r>
      <w:r w:rsidRPr="00250E9C">
        <w:rPr>
          <w:color w:val="000000" w:themeColor="text1"/>
        </w:rPr>
        <w:t xml:space="preserve">ESMI, nous proposons de rapatrier les financements dans une deuxième partie de la PFA pour les ETP de ce même périmètre. </w:t>
      </w:r>
      <w:r w:rsidRPr="00250E9C">
        <w:rPr>
          <w:b/>
          <w:color w:val="000000" w:themeColor="text1"/>
        </w:rPr>
        <w:t xml:space="preserve">Cela signifie que le budget </w:t>
      </w:r>
      <w:r w:rsidRPr="00F54A11">
        <w:rPr>
          <w:b/>
          <w:color w:val="000000" w:themeColor="text1"/>
        </w:rPr>
        <w:t>disponible p</w:t>
      </w:r>
      <w:r w:rsidRPr="00250E9C">
        <w:rPr>
          <w:b/>
          <w:color w:val="000000" w:themeColor="text1"/>
        </w:rPr>
        <w:t xml:space="preserve">our la partie 2 de la PFA en 2023 serait de 100 000/200 ETP = 500 </w:t>
      </w:r>
      <w:r w:rsidRPr="00F54A11">
        <w:rPr>
          <w:b/>
          <w:bCs/>
          <w:color w:val="000000" w:themeColor="text1"/>
        </w:rPr>
        <w:t>euros</w:t>
      </w:r>
      <w:r w:rsidRPr="00250E9C">
        <w:rPr>
          <w:color w:val="000000" w:themeColor="text1"/>
        </w:rPr>
        <w:t xml:space="preserve"> </w:t>
      </w:r>
      <w:r w:rsidRPr="00F54A11">
        <w:rPr>
          <w:b/>
          <w:bCs/>
          <w:color w:val="000000" w:themeColor="text1"/>
        </w:rPr>
        <w:t>par ETP</w:t>
      </w:r>
      <w:r w:rsidRPr="00250E9C">
        <w:rPr>
          <w:color w:val="000000" w:themeColor="text1"/>
        </w:rPr>
        <w:t>. Pour 2024, il s’agirait du même montant.</w:t>
      </w:r>
    </w:p>
    <w:p w14:paraId="4099249C" w14:textId="5A5C0DCC" w:rsidR="007A5D72" w:rsidRPr="00250E9C" w:rsidRDefault="0094704A">
      <w:pPr>
        <w:rPr>
          <w:color w:val="000000" w:themeColor="text1"/>
        </w:rPr>
      </w:pPr>
      <w:r w:rsidRPr="00250E9C">
        <w:rPr>
          <w:color w:val="000000" w:themeColor="text1"/>
        </w:rPr>
        <w:t xml:space="preserve">Les montants doivent </w:t>
      </w:r>
      <w:r w:rsidR="00A06547">
        <w:rPr>
          <w:color w:val="000000" w:themeColor="text1"/>
        </w:rPr>
        <w:t xml:space="preserve">être </w:t>
      </w:r>
      <w:r w:rsidRPr="00250E9C">
        <w:rPr>
          <w:color w:val="000000" w:themeColor="text1"/>
        </w:rPr>
        <w:t xml:space="preserve">mis à jour en fonction des cadastres </w:t>
      </w:r>
      <w:r w:rsidR="007F7880" w:rsidRPr="00250E9C">
        <w:rPr>
          <w:color w:val="000000" w:themeColor="text1"/>
        </w:rPr>
        <w:t>actualisés</w:t>
      </w:r>
      <w:r w:rsidRPr="00250E9C">
        <w:rPr>
          <w:color w:val="000000" w:themeColor="text1"/>
        </w:rPr>
        <w:t xml:space="preserve"> et intégrer l’ensemble du secteur ESMI (francophones et néerlandophones) correspondant aux critères de l’enveloppe ANM.</w:t>
      </w:r>
    </w:p>
    <w:sectPr w:rsidR="007A5D72" w:rsidRPr="00250E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6BE0BF" w14:textId="77777777" w:rsidR="00894267" w:rsidRDefault="00894267">
      <w:pPr>
        <w:spacing w:before="0" w:after="0"/>
      </w:pPr>
      <w:r>
        <w:separator/>
      </w:r>
    </w:p>
  </w:endnote>
  <w:endnote w:type="continuationSeparator" w:id="0">
    <w:p w14:paraId="0B55BB20" w14:textId="77777777" w:rsidR="00894267" w:rsidRDefault="008942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510A1" w14:textId="77777777" w:rsidR="007A5D72" w:rsidRDefault="007A5D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9CC34" w14:textId="77777777" w:rsidR="007A5D72" w:rsidRDefault="007A5D72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  <w:sz w:val="18"/>
        <w:szCs w:val="18"/>
      </w:rPr>
    </w:pPr>
  </w:p>
  <w:p w14:paraId="42DBA395" w14:textId="77777777" w:rsidR="007A5D72" w:rsidRDefault="009470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Tahoma"/>
        <w:color w:val="000000"/>
        <w:sz w:val="18"/>
        <w:szCs w:val="18"/>
      </w:rPr>
    </w:pPr>
    <w:r>
      <w:rPr>
        <w:rFonts w:eastAsia="Tahoma"/>
        <w:color w:val="000000"/>
        <w:sz w:val="18"/>
        <w:szCs w:val="18"/>
      </w:rPr>
      <w:t>/Volumes/PARTAGE/</w:t>
    </w:r>
    <w:proofErr w:type="spellStart"/>
    <w:r>
      <w:rPr>
        <w:rFonts w:eastAsia="Tahoma"/>
        <w:color w:val="000000"/>
        <w:sz w:val="18"/>
        <w:szCs w:val="18"/>
      </w:rPr>
      <w:t>FeBISP</w:t>
    </w:r>
    <w:proofErr w:type="spellEnd"/>
    <w:r>
      <w:rPr>
        <w:rFonts w:eastAsia="Tahoma"/>
        <w:color w:val="000000"/>
        <w:sz w:val="18"/>
        <w:szCs w:val="18"/>
      </w:rPr>
      <w:t xml:space="preserve">/l ECSI/ANM </w:t>
    </w:r>
    <w:proofErr w:type="spellStart"/>
    <w:r>
      <w:rPr>
        <w:rFonts w:eastAsia="Tahoma"/>
        <w:color w:val="000000"/>
        <w:sz w:val="18"/>
        <w:szCs w:val="18"/>
      </w:rPr>
      <w:t>ESMi</w:t>
    </w:r>
    <w:proofErr w:type="spellEnd"/>
    <w:r>
      <w:rPr>
        <w:rFonts w:eastAsia="Tahoma"/>
        <w:color w:val="000000"/>
        <w:sz w:val="18"/>
        <w:szCs w:val="18"/>
      </w:rPr>
      <w:t xml:space="preserve"> 2021 - 2023/2023/ANM ESMI GVT.docx</w:t>
    </w:r>
  </w:p>
  <w:p w14:paraId="7F1F69E9" w14:textId="77777777" w:rsidR="007A5D72" w:rsidRDefault="009470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  <w:sz w:val="18"/>
        <w:szCs w:val="18"/>
      </w:rPr>
    </w:pPr>
    <w:r>
      <w:rPr>
        <w:rFonts w:eastAsia="Tahoma"/>
        <w:color w:val="000000"/>
        <w:sz w:val="18"/>
        <w:szCs w:val="18"/>
      </w:rPr>
      <w:t>FeBISP</w:t>
    </w:r>
    <w:r>
      <w:rPr>
        <w:rFonts w:eastAsia="Tahoma"/>
        <w:color w:val="000000"/>
        <w:sz w:val="18"/>
        <w:szCs w:val="18"/>
      </w:rPr>
      <w:tab/>
    </w:r>
    <w:r>
      <w:rPr>
        <w:rFonts w:eastAsia="Tahoma"/>
        <w:color w:val="000000"/>
        <w:sz w:val="18"/>
        <w:szCs w:val="18"/>
      </w:rPr>
      <w:tab/>
    </w:r>
    <w:r>
      <w:rPr>
        <w:rFonts w:eastAsia="Tahoma"/>
        <w:color w:val="000000"/>
        <w:sz w:val="18"/>
        <w:szCs w:val="18"/>
      </w:rPr>
      <w:fldChar w:fldCharType="begin"/>
    </w:r>
    <w:r>
      <w:rPr>
        <w:rFonts w:eastAsia="Tahoma"/>
        <w:color w:val="000000"/>
        <w:sz w:val="18"/>
        <w:szCs w:val="18"/>
      </w:rPr>
      <w:instrText>PAGE</w:instrText>
    </w:r>
    <w:r>
      <w:rPr>
        <w:rFonts w:eastAsia="Tahoma"/>
        <w:color w:val="000000"/>
        <w:sz w:val="18"/>
        <w:szCs w:val="18"/>
      </w:rPr>
      <w:fldChar w:fldCharType="separate"/>
    </w:r>
    <w:r w:rsidR="00037762">
      <w:rPr>
        <w:rFonts w:eastAsia="Tahoma"/>
        <w:noProof/>
        <w:color w:val="000000"/>
        <w:sz w:val="18"/>
        <w:szCs w:val="18"/>
      </w:rPr>
      <w:t>1</w:t>
    </w:r>
    <w:r>
      <w:rPr>
        <w:rFonts w:eastAsia="Tahoma"/>
        <w:color w:val="000000"/>
        <w:sz w:val="18"/>
        <w:szCs w:val="18"/>
      </w:rPr>
      <w:fldChar w:fldCharType="end"/>
    </w:r>
    <w:r>
      <w:rPr>
        <w:rFonts w:eastAsia="Tahoma"/>
        <w:color w:val="000000"/>
        <w:sz w:val="18"/>
        <w:szCs w:val="18"/>
      </w:rPr>
      <w:t>/</w:t>
    </w:r>
    <w:r>
      <w:rPr>
        <w:rFonts w:eastAsia="Tahoma"/>
        <w:color w:val="000000"/>
        <w:sz w:val="18"/>
        <w:szCs w:val="18"/>
      </w:rPr>
      <w:fldChar w:fldCharType="begin"/>
    </w:r>
    <w:r>
      <w:rPr>
        <w:rFonts w:eastAsia="Tahoma"/>
        <w:color w:val="000000"/>
        <w:sz w:val="18"/>
        <w:szCs w:val="18"/>
      </w:rPr>
      <w:instrText>NUMPAGES</w:instrText>
    </w:r>
    <w:r>
      <w:rPr>
        <w:rFonts w:eastAsia="Tahoma"/>
        <w:color w:val="000000"/>
        <w:sz w:val="18"/>
        <w:szCs w:val="18"/>
      </w:rPr>
      <w:fldChar w:fldCharType="separate"/>
    </w:r>
    <w:r w:rsidR="00037762">
      <w:rPr>
        <w:rFonts w:eastAsia="Tahoma"/>
        <w:noProof/>
        <w:color w:val="000000"/>
        <w:sz w:val="18"/>
        <w:szCs w:val="18"/>
      </w:rPr>
      <w:t>2</w:t>
    </w:r>
    <w:r>
      <w:rPr>
        <w:rFonts w:eastAsia="Tahoma"/>
        <w:color w:val="000000"/>
        <w:sz w:val="18"/>
        <w:szCs w:val="18"/>
      </w:rPr>
      <w:fldChar w:fldCharType="end"/>
    </w:r>
  </w:p>
  <w:p w14:paraId="732F073A" w14:textId="77777777" w:rsidR="007A5D72" w:rsidRDefault="009470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</w:rPr>
    </w:pPr>
    <w:r>
      <w:rPr>
        <w:rFonts w:eastAsia="Tahoma"/>
        <w:color w:val="000000"/>
        <w:sz w:val="18"/>
        <w:szCs w:val="18"/>
      </w:rPr>
      <w:tab/>
    </w:r>
    <w:r>
      <w:rPr>
        <w:rFonts w:eastAsia="Tahoma"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9182F" w14:textId="77777777" w:rsidR="007A5D72" w:rsidRDefault="007A5D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29304" w14:textId="77777777" w:rsidR="00894267" w:rsidRDefault="00894267">
      <w:pPr>
        <w:spacing w:before="0" w:after="0"/>
      </w:pPr>
      <w:r>
        <w:separator/>
      </w:r>
    </w:p>
  </w:footnote>
  <w:footnote w:type="continuationSeparator" w:id="0">
    <w:p w14:paraId="4929F95C" w14:textId="77777777" w:rsidR="00894267" w:rsidRDefault="00894267">
      <w:pPr>
        <w:spacing w:before="0" w:after="0"/>
      </w:pPr>
      <w:r>
        <w:continuationSeparator/>
      </w:r>
    </w:p>
  </w:footnote>
  <w:footnote w:id="1">
    <w:p w14:paraId="172CDD54" w14:textId="5D44764A" w:rsidR="007A5D72" w:rsidRDefault="0094704A">
      <w:pPr>
        <w:pBdr>
          <w:top w:val="nil"/>
          <w:left w:val="nil"/>
          <w:bottom w:val="nil"/>
          <w:right w:val="nil"/>
          <w:between w:val="nil"/>
        </w:pBdr>
        <w:rPr>
          <w:rFonts w:eastAsia="Tahoma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eastAsia="Tahoma"/>
          <w:color w:val="000000"/>
          <w:sz w:val="16"/>
          <w:szCs w:val="16"/>
        </w:rPr>
        <w:t xml:space="preserve"> ESMI : </w:t>
      </w:r>
      <w:r w:rsidR="009A43D4">
        <w:rPr>
          <w:rFonts w:eastAsia="Tahoma"/>
          <w:color w:val="000000"/>
          <w:sz w:val="16"/>
          <w:szCs w:val="16"/>
        </w:rPr>
        <w:t>Entreprises Sociales Mandatées en Insertion</w:t>
      </w:r>
    </w:p>
  </w:footnote>
  <w:footnote w:id="2">
    <w:p w14:paraId="775B7D7F" w14:textId="38FBA77A" w:rsidR="00A6342F" w:rsidRDefault="00A6342F">
      <w:pPr>
        <w:pStyle w:val="Voetnoottekst"/>
      </w:pPr>
      <w:r>
        <w:rPr>
          <w:rStyle w:val="Voetnootmarkering"/>
        </w:rPr>
        <w:footnoteRef/>
      </w:r>
      <w:r>
        <w:t xml:space="preserve"> Voir le document en annexe</w:t>
      </w:r>
    </w:p>
  </w:footnote>
  <w:footnote w:id="3">
    <w:p w14:paraId="2AC02604" w14:textId="075A94E4" w:rsidR="00AE7C72" w:rsidRPr="00B81AAA" w:rsidRDefault="00AE7C72">
      <w:pPr>
        <w:pStyle w:val="Voetnoottekst"/>
        <w:rPr>
          <w:color w:val="000000" w:themeColor="text1"/>
        </w:rPr>
      </w:pPr>
      <w:r w:rsidRPr="00B81AAA">
        <w:rPr>
          <w:rStyle w:val="Voetnootmarkering"/>
          <w:color w:val="000000" w:themeColor="text1"/>
        </w:rPr>
        <w:footnoteRef/>
      </w:r>
      <w:r w:rsidRPr="00B81AAA">
        <w:rPr>
          <w:color w:val="000000" w:themeColor="text1"/>
        </w:rPr>
        <w:t xml:space="preserve"> Montants </w:t>
      </w:r>
      <w:r w:rsidR="00F447C1" w:rsidRPr="00B81AAA">
        <w:rPr>
          <w:color w:val="000000" w:themeColor="text1"/>
        </w:rPr>
        <w:t xml:space="preserve">Attractivité </w:t>
      </w:r>
      <w:r w:rsidRPr="00B81AAA">
        <w:rPr>
          <w:color w:val="000000" w:themeColor="text1"/>
        </w:rPr>
        <w:t xml:space="preserve">et </w:t>
      </w:r>
      <w:r w:rsidR="00F447C1" w:rsidRPr="00B81AAA">
        <w:rPr>
          <w:color w:val="000000" w:themeColor="text1"/>
        </w:rPr>
        <w:t>M</w:t>
      </w:r>
      <w:r w:rsidRPr="00B81AAA">
        <w:rPr>
          <w:color w:val="000000" w:themeColor="text1"/>
        </w:rPr>
        <w:t>obilité.</w:t>
      </w:r>
    </w:p>
  </w:footnote>
  <w:footnote w:id="4">
    <w:p w14:paraId="69FC7C09" w14:textId="77777777" w:rsidR="007A5D72" w:rsidRDefault="0094704A">
      <w:pPr>
        <w:pBdr>
          <w:top w:val="nil"/>
          <w:left w:val="nil"/>
          <w:bottom w:val="nil"/>
          <w:right w:val="nil"/>
          <w:between w:val="nil"/>
        </w:pBdr>
        <w:rPr>
          <w:rFonts w:eastAsia="Tahoma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eastAsia="Tahoma"/>
          <w:color w:val="000000"/>
          <w:sz w:val="16"/>
          <w:szCs w:val="16"/>
        </w:rPr>
        <w:t xml:space="preserve"> Conseil consultatif de l'entrepreneuriat social</w:t>
      </w:r>
    </w:p>
  </w:footnote>
  <w:footnote w:id="5">
    <w:p w14:paraId="162F5CDC" w14:textId="77777777" w:rsidR="007A5D72" w:rsidRDefault="0094704A">
      <w:pPr>
        <w:pBdr>
          <w:top w:val="nil"/>
          <w:left w:val="nil"/>
          <w:bottom w:val="nil"/>
          <w:right w:val="nil"/>
          <w:between w:val="nil"/>
        </w:pBdr>
        <w:rPr>
          <w:rFonts w:eastAsia="Tahoma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eastAsia="Tahoma"/>
          <w:color w:val="000000"/>
          <w:sz w:val="16"/>
          <w:szCs w:val="16"/>
        </w:rPr>
        <w:t xml:space="preserve"> </w:t>
      </w:r>
      <w:hyperlink r:id="rId1">
        <w:r>
          <w:rPr>
            <w:rFonts w:eastAsia="Tahoma"/>
            <w:color w:val="0000FF"/>
            <w:sz w:val="16"/>
            <w:szCs w:val="16"/>
            <w:u w:val="single"/>
          </w:rPr>
          <w:t>https://www.brupartners.brussels/fr/conseil-consultatif-de-lentrepreneuriat-social</w:t>
        </w:r>
      </w:hyperlink>
      <w:r>
        <w:rPr>
          <w:rFonts w:eastAsia="Tahoma"/>
          <w:color w:val="000000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3EB30" w14:textId="77777777" w:rsidR="007A5D72" w:rsidRDefault="007A5D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E8458" w14:textId="77777777" w:rsidR="007A5D72" w:rsidRDefault="007A5D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0A1E8" w14:textId="77777777" w:rsidR="007A5D72" w:rsidRDefault="007A5D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2056A"/>
    <w:multiLevelType w:val="multilevel"/>
    <w:tmpl w:val="AC18847A"/>
    <w:lvl w:ilvl="0">
      <w:start w:val="1"/>
      <w:numFmt w:val="decimal"/>
      <w:pStyle w:val="Kop1"/>
      <w:lvlText w:val="%1."/>
      <w:lvlJc w:val="left"/>
      <w:pPr>
        <w:ind w:left="720" w:hanging="360"/>
      </w:pPr>
    </w:lvl>
    <w:lvl w:ilvl="1">
      <w:start w:val="1"/>
      <w:numFmt w:val="lowerLetter"/>
      <w:pStyle w:val="Kop2"/>
      <w:lvlText w:val="%2."/>
      <w:lvlJc w:val="left"/>
      <w:pPr>
        <w:ind w:left="1440" w:hanging="360"/>
      </w:pPr>
    </w:lvl>
    <w:lvl w:ilvl="2">
      <w:start w:val="1"/>
      <w:numFmt w:val="lowerRoman"/>
      <w:pStyle w:val="Kop3"/>
      <w:lvlText w:val="%3."/>
      <w:lvlJc w:val="right"/>
      <w:pPr>
        <w:ind w:left="2160" w:hanging="180"/>
      </w:pPr>
    </w:lvl>
    <w:lvl w:ilvl="3">
      <w:start w:val="1"/>
      <w:numFmt w:val="decimal"/>
      <w:pStyle w:val="Kop4"/>
      <w:lvlText w:val="%4."/>
      <w:lvlJc w:val="left"/>
      <w:pPr>
        <w:ind w:left="2880" w:hanging="360"/>
      </w:pPr>
    </w:lvl>
    <w:lvl w:ilvl="4">
      <w:start w:val="1"/>
      <w:numFmt w:val="lowerLetter"/>
      <w:pStyle w:val="Kop5"/>
      <w:lvlText w:val="%5."/>
      <w:lvlJc w:val="left"/>
      <w:pPr>
        <w:ind w:left="3600" w:hanging="360"/>
      </w:pPr>
    </w:lvl>
    <w:lvl w:ilvl="5">
      <w:start w:val="1"/>
      <w:numFmt w:val="lowerRoman"/>
      <w:pStyle w:val="Kop6"/>
      <w:lvlText w:val="%6."/>
      <w:lvlJc w:val="right"/>
      <w:pPr>
        <w:ind w:left="4320" w:hanging="180"/>
      </w:pPr>
    </w:lvl>
    <w:lvl w:ilvl="6">
      <w:start w:val="1"/>
      <w:numFmt w:val="decimal"/>
      <w:pStyle w:val="Kop7"/>
      <w:lvlText w:val="%7."/>
      <w:lvlJc w:val="left"/>
      <w:pPr>
        <w:ind w:left="5040" w:hanging="360"/>
      </w:pPr>
    </w:lvl>
    <w:lvl w:ilvl="7">
      <w:start w:val="1"/>
      <w:numFmt w:val="lowerLetter"/>
      <w:pStyle w:val="Kop8"/>
      <w:lvlText w:val="%8."/>
      <w:lvlJc w:val="left"/>
      <w:pPr>
        <w:ind w:left="5760" w:hanging="360"/>
      </w:pPr>
    </w:lvl>
    <w:lvl w:ilvl="8">
      <w:start w:val="1"/>
      <w:numFmt w:val="lowerRoman"/>
      <w:pStyle w:val="Kop9"/>
      <w:lvlText w:val="%9."/>
      <w:lvlJc w:val="right"/>
      <w:pPr>
        <w:ind w:left="6480" w:hanging="180"/>
      </w:pPr>
    </w:lvl>
  </w:abstractNum>
  <w:abstractNum w:abstractNumId="1" w15:restartNumberingAfterBreak="0">
    <w:nsid w:val="0D786192"/>
    <w:multiLevelType w:val="multilevel"/>
    <w:tmpl w:val="4A4EEB0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E44FC"/>
    <w:multiLevelType w:val="multilevel"/>
    <w:tmpl w:val="7E18B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827E4"/>
    <w:multiLevelType w:val="multilevel"/>
    <w:tmpl w:val="2EC0E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9C51F3"/>
    <w:multiLevelType w:val="multilevel"/>
    <w:tmpl w:val="5D469B0A"/>
    <w:lvl w:ilvl="0">
      <w:start w:val="1"/>
      <w:numFmt w:val="decimal"/>
      <w:pStyle w:val="Lijst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73564CA"/>
    <w:multiLevelType w:val="hybridMultilevel"/>
    <w:tmpl w:val="E77E9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13F3F"/>
    <w:multiLevelType w:val="multilevel"/>
    <w:tmpl w:val="07268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92646"/>
    <w:multiLevelType w:val="multilevel"/>
    <w:tmpl w:val="CC6CC74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E5A63"/>
    <w:multiLevelType w:val="multilevel"/>
    <w:tmpl w:val="AA307F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FCF7CEF"/>
    <w:multiLevelType w:val="multilevel"/>
    <w:tmpl w:val="61348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914E0"/>
    <w:multiLevelType w:val="multilevel"/>
    <w:tmpl w:val="055C0B24"/>
    <w:lvl w:ilvl="0">
      <w:start w:val="1"/>
      <w:numFmt w:val="decimal"/>
      <w:pStyle w:val="Style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82CC0"/>
    <w:multiLevelType w:val="multilevel"/>
    <w:tmpl w:val="0BEE22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F287C"/>
    <w:multiLevelType w:val="multilevel"/>
    <w:tmpl w:val="D396B7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125637">
    <w:abstractNumId w:val="10"/>
  </w:num>
  <w:num w:numId="2" w16cid:durableId="1312520909">
    <w:abstractNumId w:val="0"/>
  </w:num>
  <w:num w:numId="3" w16cid:durableId="1010764606">
    <w:abstractNumId w:val="9"/>
  </w:num>
  <w:num w:numId="4" w16cid:durableId="1832983261">
    <w:abstractNumId w:val="6"/>
  </w:num>
  <w:num w:numId="5" w16cid:durableId="347484957">
    <w:abstractNumId w:val="3"/>
  </w:num>
  <w:num w:numId="6" w16cid:durableId="898128247">
    <w:abstractNumId w:val="12"/>
  </w:num>
  <w:num w:numId="7" w16cid:durableId="1567374601">
    <w:abstractNumId w:val="2"/>
  </w:num>
  <w:num w:numId="8" w16cid:durableId="1605723384">
    <w:abstractNumId w:val="11"/>
  </w:num>
  <w:num w:numId="9" w16cid:durableId="823738811">
    <w:abstractNumId w:val="8"/>
  </w:num>
  <w:num w:numId="10" w16cid:durableId="1301957182">
    <w:abstractNumId w:val="4"/>
  </w:num>
  <w:num w:numId="11" w16cid:durableId="1859077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8242207">
    <w:abstractNumId w:val="5"/>
  </w:num>
  <w:num w:numId="13" w16cid:durableId="1617323548">
    <w:abstractNumId w:val="0"/>
  </w:num>
  <w:num w:numId="14" w16cid:durableId="1628929646">
    <w:abstractNumId w:val="0"/>
  </w:num>
  <w:num w:numId="15" w16cid:durableId="388575281">
    <w:abstractNumId w:val="0"/>
  </w:num>
  <w:num w:numId="16" w16cid:durableId="1951424956">
    <w:abstractNumId w:val="1"/>
  </w:num>
  <w:num w:numId="17" w16cid:durableId="1482533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D72"/>
    <w:rsid w:val="00024CE6"/>
    <w:rsid w:val="00037762"/>
    <w:rsid w:val="001053A8"/>
    <w:rsid w:val="001F6DC2"/>
    <w:rsid w:val="002319A9"/>
    <w:rsid w:val="00250E9C"/>
    <w:rsid w:val="002550E4"/>
    <w:rsid w:val="00285251"/>
    <w:rsid w:val="002D41A8"/>
    <w:rsid w:val="002F31CF"/>
    <w:rsid w:val="00305F71"/>
    <w:rsid w:val="0032448D"/>
    <w:rsid w:val="00596C3E"/>
    <w:rsid w:val="00596D03"/>
    <w:rsid w:val="0060141A"/>
    <w:rsid w:val="00675C17"/>
    <w:rsid w:val="00696727"/>
    <w:rsid w:val="00705CCB"/>
    <w:rsid w:val="00753930"/>
    <w:rsid w:val="007753B7"/>
    <w:rsid w:val="007A5D72"/>
    <w:rsid w:val="007B74EA"/>
    <w:rsid w:val="007C64AB"/>
    <w:rsid w:val="007F7880"/>
    <w:rsid w:val="008436A2"/>
    <w:rsid w:val="00894267"/>
    <w:rsid w:val="008D4C60"/>
    <w:rsid w:val="0094704A"/>
    <w:rsid w:val="009A43D4"/>
    <w:rsid w:val="00A06547"/>
    <w:rsid w:val="00A6342F"/>
    <w:rsid w:val="00AE7C72"/>
    <w:rsid w:val="00B81AAA"/>
    <w:rsid w:val="00BA032B"/>
    <w:rsid w:val="00BC0DEF"/>
    <w:rsid w:val="00C35175"/>
    <w:rsid w:val="00CC1D11"/>
    <w:rsid w:val="00D02F7D"/>
    <w:rsid w:val="00D90D58"/>
    <w:rsid w:val="00D927B8"/>
    <w:rsid w:val="00E76883"/>
    <w:rsid w:val="00E907E0"/>
    <w:rsid w:val="00EC71F4"/>
    <w:rsid w:val="00EF781F"/>
    <w:rsid w:val="00F10B76"/>
    <w:rsid w:val="00F14965"/>
    <w:rsid w:val="00F447C1"/>
    <w:rsid w:val="00F54A11"/>
    <w:rsid w:val="00FE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3B7A6"/>
  <w15:docId w15:val="{86FE2E84-440C-9942-B2E3-D37A5863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fr-FR" w:eastAsia="fr-FR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6803"/>
    <w:rPr>
      <w:rFonts w:eastAsia="Times"/>
    </w:rPr>
  </w:style>
  <w:style w:type="paragraph" w:styleId="Kop1">
    <w:name w:val="heading 1"/>
    <w:basedOn w:val="Standaard"/>
    <w:next w:val="Standaard"/>
    <w:link w:val="Kop1Char"/>
    <w:uiPriority w:val="9"/>
    <w:qFormat/>
    <w:rsid w:val="007443BC"/>
    <w:pPr>
      <w:keepNext/>
      <w:numPr>
        <w:numId w:val="2"/>
      </w:numPr>
      <w:pBdr>
        <w:bottom w:val="single" w:sz="4" w:space="1" w:color="auto"/>
      </w:pBdr>
      <w:spacing w:before="240" w:after="240"/>
      <w:outlineLvl w:val="0"/>
    </w:pPr>
    <w:rPr>
      <w:rFonts w:eastAsia="Times New Roman"/>
      <w:b/>
      <w:bCs/>
      <w:smallCaps/>
      <w:color w:val="FF0000"/>
      <w:kern w:val="32"/>
      <w:sz w:val="2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3E2B"/>
    <w:pPr>
      <w:keepNext/>
      <w:numPr>
        <w:ilvl w:val="1"/>
        <w:numId w:val="2"/>
      </w:numPr>
      <w:spacing w:before="240" w:after="60"/>
      <w:outlineLvl w:val="1"/>
    </w:pPr>
    <w:rPr>
      <w:rFonts w:eastAsia="Times New Roman"/>
      <w:b/>
      <w:bCs/>
      <w:iCs/>
      <w:smallCaps/>
      <w:color w:val="00B0F0"/>
      <w:sz w:val="22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13E2B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Cs/>
      <w:smallCaps/>
      <w:color w:val="FFC000"/>
      <w:sz w:val="22"/>
      <w:szCs w:val="26"/>
      <w:u w:val="singl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13E2B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mallCaps/>
      <w:color w:val="7030A0"/>
      <w:sz w:val="1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87F96"/>
    <w:pPr>
      <w:numPr>
        <w:ilvl w:val="4"/>
        <w:numId w:val="2"/>
      </w:numPr>
      <w:spacing w:before="240" w:after="60"/>
      <w:outlineLvl w:val="4"/>
    </w:pPr>
    <w:rPr>
      <w:rFonts w:eastAsia="Times New Roman"/>
      <w:bCs/>
      <w:iCs/>
      <w:smallCaps/>
      <w:sz w:val="18"/>
      <w:szCs w:val="26"/>
      <w:u w:val="single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3677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sz w:val="18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256C4"/>
    <w:pPr>
      <w:numPr>
        <w:ilvl w:val="6"/>
        <w:numId w:val="2"/>
      </w:numPr>
      <w:spacing w:before="240" w:after="60"/>
      <w:outlineLvl w:val="6"/>
    </w:pPr>
    <w:rPr>
      <w:rFonts w:ascii="Cambria" w:eastAsia="Times New Roman" w:hAnsi="Cambria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256C4"/>
    <w:pPr>
      <w:numPr>
        <w:ilvl w:val="7"/>
        <w:numId w:val="2"/>
      </w:numPr>
      <w:spacing w:before="240" w:after="60"/>
      <w:outlineLvl w:val="7"/>
    </w:pPr>
    <w:rPr>
      <w:rFonts w:ascii="Cambria" w:eastAsia="Times New Roman" w:hAnsi="Cambria"/>
      <w:i/>
      <w:iC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256C4"/>
    <w:pPr>
      <w:numPr>
        <w:ilvl w:val="8"/>
        <w:numId w:val="2"/>
      </w:num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62884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2884"/>
    <w:rPr>
      <w:rFonts w:ascii="Lucida Grande" w:hAnsi="Lucida Grande"/>
      <w:sz w:val="18"/>
      <w:szCs w:val="18"/>
    </w:rPr>
  </w:style>
  <w:style w:type="paragraph" w:customStyle="1" w:styleId="Style2">
    <w:name w:val="Style2"/>
    <w:basedOn w:val="Standaard"/>
    <w:next w:val="Standaard"/>
    <w:rsid w:val="00551F79"/>
    <w:pPr>
      <w:numPr>
        <w:numId w:val="1"/>
      </w:numPr>
      <w:spacing w:before="240" w:after="240"/>
    </w:pPr>
    <w:rPr>
      <w:smallCaps/>
      <w:sz w:val="28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7443BC"/>
    <w:rPr>
      <w:rFonts w:ascii="Tahoma" w:eastAsia="Times New Roman" w:hAnsi="Tahoma"/>
      <w:b/>
      <w:bCs/>
      <w:smallCaps/>
      <w:color w:val="FF0000"/>
      <w:kern w:val="32"/>
      <w:sz w:val="2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450DFF"/>
    <w:pPr>
      <w:tabs>
        <w:tab w:val="center" w:pos="4536"/>
        <w:tab w:val="right" w:pos="9072"/>
      </w:tabs>
    </w:pPr>
  </w:style>
  <w:style w:type="character" w:customStyle="1" w:styleId="Kop2Char">
    <w:name w:val="Kop 2 Char"/>
    <w:basedOn w:val="Standaardalinea-lettertype"/>
    <w:link w:val="Kop2"/>
    <w:uiPriority w:val="9"/>
    <w:rsid w:val="00613E2B"/>
    <w:rPr>
      <w:rFonts w:ascii="Tahoma" w:eastAsia="Times New Roman" w:hAnsi="Tahoma"/>
      <w:b/>
      <w:bCs/>
      <w:iCs/>
      <w:smallCaps/>
      <w:color w:val="00B0F0"/>
      <w:sz w:val="22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613E2B"/>
    <w:rPr>
      <w:rFonts w:ascii="Tahoma" w:eastAsia="Times New Roman" w:hAnsi="Tahoma"/>
      <w:bCs/>
      <w:smallCaps/>
      <w:color w:val="FFC000"/>
      <w:sz w:val="22"/>
      <w:szCs w:val="26"/>
      <w:u w:val="single"/>
    </w:rPr>
  </w:style>
  <w:style w:type="character" w:customStyle="1" w:styleId="Kop4Char">
    <w:name w:val="Kop 4 Char"/>
    <w:basedOn w:val="Standaardalinea-lettertype"/>
    <w:link w:val="Kop4"/>
    <w:uiPriority w:val="9"/>
    <w:rsid w:val="00613E2B"/>
    <w:rPr>
      <w:rFonts w:ascii="Tahoma" w:eastAsia="Times New Roman" w:hAnsi="Tahoma"/>
      <w:b/>
      <w:bCs/>
      <w:smallCaps/>
      <w:color w:val="7030A0"/>
      <w:sz w:val="18"/>
      <w:szCs w:val="28"/>
    </w:rPr>
  </w:style>
  <w:style w:type="character" w:customStyle="1" w:styleId="Kop5Char">
    <w:name w:val="Kop 5 Char"/>
    <w:basedOn w:val="Standaardalinea-lettertype"/>
    <w:link w:val="Kop5"/>
    <w:uiPriority w:val="9"/>
    <w:rsid w:val="00787F96"/>
    <w:rPr>
      <w:rFonts w:ascii="Tahoma" w:eastAsia="Times New Roman" w:hAnsi="Tahoma"/>
      <w:bCs/>
      <w:iCs/>
      <w:smallCaps/>
      <w:sz w:val="18"/>
      <w:szCs w:val="26"/>
      <w:u w:val="single"/>
    </w:rPr>
  </w:style>
  <w:style w:type="character" w:customStyle="1" w:styleId="Kop6Char">
    <w:name w:val="Kop 6 Char"/>
    <w:basedOn w:val="Standaardalinea-lettertype"/>
    <w:link w:val="Kop6"/>
    <w:uiPriority w:val="9"/>
    <w:rsid w:val="009E3677"/>
    <w:rPr>
      <w:rFonts w:ascii="Tahoma" w:eastAsia="Times New Roman" w:hAnsi="Tahoma"/>
      <w:b/>
      <w:bCs/>
      <w:sz w:val="18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256C4"/>
    <w:rPr>
      <w:rFonts w:ascii="Cambria" w:eastAsia="Times New Roman" w:hAnsi="Cambria" w:cs="Times New Roman"/>
      <w:sz w:val="24"/>
      <w:szCs w:val="24"/>
      <w:lang w:val="fr-FR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256C4"/>
    <w:rPr>
      <w:rFonts w:ascii="Cambria" w:eastAsia="Times New Roman" w:hAnsi="Cambria" w:cs="Times New Roman"/>
      <w:i/>
      <w:iCs/>
      <w:sz w:val="24"/>
      <w:szCs w:val="24"/>
      <w:lang w:val="fr-FR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256C4"/>
    <w:rPr>
      <w:rFonts w:ascii="Calibri" w:eastAsia="Times New Roman" w:hAnsi="Calibri" w:cs="Times New Roman"/>
      <w:sz w:val="22"/>
      <w:szCs w:val="22"/>
      <w:lang w:val="fr-FR"/>
    </w:rPr>
  </w:style>
  <w:style w:type="character" w:customStyle="1" w:styleId="KoptekstChar">
    <w:name w:val="Koptekst Char"/>
    <w:basedOn w:val="Standaardalinea-lettertype"/>
    <w:link w:val="Koptekst"/>
    <w:uiPriority w:val="99"/>
    <w:rsid w:val="00450DFF"/>
    <w:rPr>
      <w:rFonts w:ascii="Times" w:eastAsia="Times" w:hAnsi="Times"/>
      <w:sz w:val="24"/>
      <w:lang w:val="fr-FR"/>
    </w:rPr>
  </w:style>
  <w:style w:type="paragraph" w:styleId="Voettekst">
    <w:name w:val="footer"/>
    <w:basedOn w:val="Standaard"/>
    <w:link w:val="VoettekstChar"/>
    <w:uiPriority w:val="99"/>
    <w:unhideWhenUsed/>
    <w:rsid w:val="00450DF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50DFF"/>
    <w:rPr>
      <w:rFonts w:ascii="Times" w:eastAsia="Times" w:hAnsi="Times"/>
      <w:sz w:val="24"/>
      <w:lang w:val="fr-FR"/>
    </w:rPr>
  </w:style>
  <w:style w:type="character" w:styleId="Paginanummer">
    <w:name w:val="page number"/>
    <w:basedOn w:val="Standaardalinea-lettertype"/>
    <w:uiPriority w:val="99"/>
    <w:semiHidden/>
    <w:unhideWhenUsed/>
    <w:rsid w:val="00757D2A"/>
    <w:rPr>
      <w:rFonts w:ascii="Tahoma" w:hAnsi="Tahoma"/>
      <w:sz w:val="18"/>
    </w:rPr>
  </w:style>
  <w:style w:type="paragraph" w:customStyle="1" w:styleId="Style1">
    <w:name w:val="Style1"/>
    <w:basedOn w:val="Voettekst"/>
    <w:qFormat/>
    <w:rsid w:val="00757D2A"/>
    <w:pPr>
      <w:pBdr>
        <w:bottom w:val="single" w:sz="4" w:space="1" w:color="auto"/>
      </w:pBdr>
    </w:pPr>
  </w:style>
  <w:style w:type="paragraph" w:styleId="Voetnoottekst">
    <w:name w:val="footnote text"/>
    <w:basedOn w:val="Standaard"/>
    <w:link w:val="VoetnoottekstChar"/>
    <w:uiPriority w:val="99"/>
    <w:unhideWhenUsed/>
    <w:rsid w:val="00526CD5"/>
    <w:rPr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26CD5"/>
    <w:rPr>
      <w:rFonts w:ascii="Tahoma" w:eastAsia="Times" w:hAnsi="Tahoma"/>
      <w:sz w:val="16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34C23"/>
    <w:rPr>
      <w:vertAlign w:val="superscript"/>
    </w:rPr>
  </w:style>
  <w:style w:type="paragraph" w:styleId="Lijstalinea">
    <w:name w:val="List Paragraph"/>
    <w:basedOn w:val="Standaard"/>
    <w:rsid w:val="009E3677"/>
    <w:pPr>
      <w:numPr>
        <w:numId w:val="10"/>
      </w:numPr>
      <w:contextualSpacing/>
    </w:pPr>
  </w:style>
  <w:style w:type="table" w:styleId="Tabelraster">
    <w:name w:val="Table Grid"/>
    <w:basedOn w:val="Standaardtabel"/>
    <w:rsid w:val="009029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nummering">
    <w:name w:val="List Number"/>
    <w:basedOn w:val="Standaard"/>
    <w:rsid w:val="009B72A5"/>
    <w:pPr>
      <w:tabs>
        <w:tab w:val="num" w:pos="720"/>
      </w:tabs>
      <w:spacing w:after="0"/>
      <w:ind w:left="720" w:hanging="720"/>
      <w:contextualSpacing/>
    </w:pPr>
  </w:style>
  <w:style w:type="character" w:styleId="Hyperlink">
    <w:name w:val="Hyperlink"/>
    <w:basedOn w:val="Standaardalinea-lettertype"/>
    <w:rsid w:val="0099154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rsid w:val="0099154C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semiHidden/>
    <w:unhideWhenUsed/>
    <w:rsid w:val="00341AA9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341AA9"/>
  </w:style>
  <w:style w:type="character" w:customStyle="1" w:styleId="TekstopmerkingChar">
    <w:name w:val="Tekst opmerking Char"/>
    <w:basedOn w:val="Standaardalinea-lettertype"/>
    <w:link w:val="Tekstopmerking"/>
    <w:semiHidden/>
    <w:rsid w:val="00341AA9"/>
    <w:rPr>
      <w:rFonts w:ascii="Tahoma" w:eastAsia="Times" w:hAnsi="Tahom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341AA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341AA9"/>
    <w:rPr>
      <w:rFonts w:ascii="Tahoma" w:eastAsia="Times" w:hAnsi="Tahoma"/>
      <w:b/>
      <w:bCs/>
      <w:sz w:val="20"/>
      <w:szCs w:val="20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e">
    <w:name w:val="Revision"/>
    <w:hidden/>
    <w:uiPriority w:val="99"/>
    <w:semiHidden/>
    <w:rsid w:val="00E907E0"/>
    <w:pPr>
      <w:spacing w:before="0" w:after="0"/>
      <w:jc w:val="left"/>
    </w:pPr>
    <w:rPr>
      <w:rFonts w:eastAsia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rupartners.brussels/fr/conseil-consultatif-de-lentrepreneuriat-socia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HSrvS9rEp3zVedycFOSw+ikQtA==">CgMxLjA4AHIhMXdRa3JYZ0NFcmJXU1lpNjhTN1hqN2VQSm95VlVOV195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1418</Words>
  <Characters>7801</Characters>
  <Application>Microsoft Office Word</Application>
  <DocSecurity>4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 FeBISP</dc:creator>
  <cp:lastModifiedBy>Nora De Herdt - Febio vzw</cp:lastModifiedBy>
  <cp:revision>2</cp:revision>
  <cp:lastPrinted>2023-09-14T10:04:00Z</cp:lastPrinted>
  <dcterms:created xsi:type="dcterms:W3CDTF">2024-10-09T15:29:00Z</dcterms:created>
  <dcterms:modified xsi:type="dcterms:W3CDTF">2024-10-09T15:29:00Z</dcterms:modified>
</cp:coreProperties>
</file>