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CC2A9" w14:textId="22A6DBEE" w:rsidR="00304FAD" w:rsidRPr="00892758" w:rsidRDefault="00892758" w:rsidP="00882364">
      <w:pPr>
        <w:pStyle w:val="Koptekst"/>
        <w:shd w:val="clear" w:color="auto" w:fill="00A797" w:themeFill="accent2"/>
        <w:spacing w:before="600" w:after="600"/>
        <w:jc w:val="center"/>
        <w:rPr>
          <w:rFonts w:cstheme="minorHAnsi"/>
          <w:b/>
          <w:bCs/>
          <w:color w:val="0A00BE"/>
          <w:sz w:val="56"/>
          <w:szCs w:val="56"/>
          <w:lang w:val="nl-BE"/>
        </w:rPr>
      </w:pPr>
      <w:r w:rsidRPr="00892758">
        <w:rPr>
          <w:rFonts w:cstheme="minorHAnsi"/>
          <w:b/>
          <w:bCs/>
          <w:noProof/>
          <w:color w:val="0A00BE"/>
          <w:sz w:val="56"/>
          <w:szCs w:val="56"/>
          <w:lang w:val="nl-BE"/>
        </w:rPr>
        <w:t>ADVIESRAAD VOOR SOCIAAL ONDERNEMERSCHAP</w:t>
      </w:r>
    </w:p>
    <w:p w14:paraId="5B64AEB8" w14:textId="217784FC" w:rsidR="00212F3B" w:rsidRPr="00892758" w:rsidRDefault="00892758" w:rsidP="00882364">
      <w:pPr>
        <w:pStyle w:val="Titel"/>
        <w:pBdr>
          <w:top w:val="single" w:sz="12" w:space="1" w:color="00A797"/>
          <w:bottom w:val="single" w:sz="12" w:space="10" w:color="00A797"/>
        </w:pBdr>
        <w:spacing w:before="2400"/>
        <w:rPr>
          <w:color w:val="0A00BE"/>
          <w:sz w:val="72"/>
          <w:szCs w:val="72"/>
          <w:lang w:val="nl-BE"/>
        </w:rPr>
      </w:pPr>
      <w:r w:rsidRPr="00892758">
        <w:rPr>
          <w:color w:val="0A00BE"/>
          <w:sz w:val="72"/>
          <w:szCs w:val="72"/>
          <w:lang w:val="nl-BE"/>
        </w:rPr>
        <w:t>Ontwerp</w:t>
      </w:r>
      <w:r w:rsidR="00CF0229" w:rsidRPr="00892758">
        <w:rPr>
          <w:color w:val="0A00BE"/>
          <w:sz w:val="72"/>
          <w:szCs w:val="72"/>
          <w:lang w:val="nl-BE"/>
        </w:rPr>
        <w:t xml:space="preserve"> </w:t>
      </w:r>
    </w:p>
    <w:p w14:paraId="60D632F3" w14:textId="1CFD99BE" w:rsidR="00155584" w:rsidRPr="00E82D84" w:rsidRDefault="00212F3B" w:rsidP="00212F3B">
      <w:pPr>
        <w:pStyle w:val="Titel"/>
        <w:pBdr>
          <w:top w:val="single" w:sz="12" w:space="1" w:color="00A797"/>
          <w:bottom w:val="single" w:sz="12" w:space="10" w:color="00A797"/>
        </w:pBdr>
        <w:spacing w:before="0"/>
        <w:rPr>
          <w:color w:val="0A00BE"/>
          <w:sz w:val="72"/>
          <w:szCs w:val="22"/>
          <w:lang w:val="nl-BE"/>
        </w:rPr>
      </w:pPr>
      <w:r w:rsidRPr="00E82D84">
        <w:rPr>
          <w:color w:val="0A00BE"/>
          <w:sz w:val="72"/>
          <w:szCs w:val="72"/>
          <w:lang w:val="nl-BE"/>
        </w:rPr>
        <w:t>INITIATI</w:t>
      </w:r>
      <w:r w:rsidR="00892758" w:rsidRPr="00E82D84">
        <w:rPr>
          <w:color w:val="0A00BE"/>
          <w:sz w:val="72"/>
          <w:szCs w:val="72"/>
          <w:lang w:val="nl-BE"/>
        </w:rPr>
        <w:t>EFADVIES</w:t>
      </w:r>
    </w:p>
    <w:p w14:paraId="436A5B29" w14:textId="7D20AB0F" w:rsidR="00892758" w:rsidRPr="00892758" w:rsidRDefault="00892758" w:rsidP="00304FAD">
      <w:pPr>
        <w:pStyle w:val="Ondertitel"/>
        <w:pBdr>
          <w:top w:val="single" w:sz="12" w:space="1" w:color="00A797"/>
          <w:bottom w:val="single" w:sz="12" w:space="10" w:color="00A797"/>
        </w:pBdr>
        <w:rPr>
          <w:bCs/>
          <w:color w:val="0A00BE"/>
          <w:sz w:val="44"/>
          <w:szCs w:val="44"/>
          <w:lang w:val="nl-BE"/>
        </w:rPr>
      </w:pPr>
      <w:bookmarkStart w:id="0" w:name="_Hlk129341255"/>
      <w:r w:rsidRPr="00892758">
        <w:rPr>
          <w:bCs/>
          <w:color w:val="0A00BE"/>
          <w:sz w:val="44"/>
          <w:szCs w:val="44"/>
          <w:lang w:val="nl-BE"/>
        </w:rPr>
        <w:t>Voorstellen v</w:t>
      </w:r>
      <w:r>
        <w:rPr>
          <w:bCs/>
          <w:color w:val="0A00BE"/>
          <w:sz w:val="44"/>
          <w:szCs w:val="44"/>
          <w:lang w:val="nl-BE"/>
        </w:rPr>
        <w:t>oor</w:t>
      </w:r>
      <w:r w:rsidRPr="00892758">
        <w:rPr>
          <w:bCs/>
          <w:color w:val="0A00BE"/>
          <w:sz w:val="44"/>
          <w:szCs w:val="44"/>
          <w:lang w:val="nl-BE"/>
        </w:rPr>
        <w:t xml:space="preserve"> verbeteringen aan het besluit van de Brusselse Hoofdstedelijke Regering van 16 mei 2019 betreffende het mandaat en de compensatie van de sociale inschakelingsondernemingen</w:t>
      </w:r>
    </w:p>
    <w:bookmarkEnd w:id="0"/>
    <w:p w14:paraId="146D77B6" w14:textId="5500C422" w:rsidR="00155584" w:rsidRPr="00220C83" w:rsidRDefault="00293FA4" w:rsidP="00304FAD">
      <w:pPr>
        <w:pStyle w:val="Ondertitel"/>
        <w:pBdr>
          <w:top w:val="single" w:sz="12" w:space="1" w:color="00A797"/>
          <w:bottom w:val="single" w:sz="12" w:space="10" w:color="00A797"/>
        </w:pBdr>
        <w:spacing w:before="240" w:after="240"/>
        <w:rPr>
          <w:color w:val="949499" w:themeColor="accent3"/>
        </w:rPr>
      </w:pPr>
      <w:r w:rsidRPr="00293FA4">
        <w:rPr>
          <w:color w:val="949499" w:themeColor="accent3"/>
          <w:sz w:val="28"/>
          <w:szCs w:val="28"/>
          <w:highlight w:val="yellow"/>
        </w:rPr>
        <w:t>XX</w:t>
      </w:r>
      <w:r w:rsidR="00212F3B">
        <w:rPr>
          <w:color w:val="949499" w:themeColor="accent3"/>
          <w:sz w:val="28"/>
          <w:szCs w:val="28"/>
          <w:highlight w:val="yellow"/>
        </w:rPr>
        <w:t xml:space="preserve">X </w:t>
      </w:r>
      <w:r w:rsidR="00F761F4" w:rsidRPr="00293FA4">
        <w:rPr>
          <w:color w:val="949499" w:themeColor="accent3"/>
          <w:sz w:val="28"/>
          <w:szCs w:val="28"/>
          <w:highlight w:val="yellow"/>
        </w:rPr>
        <w:t>202</w:t>
      </w:r>
      <w:r w:rsidR="00CF0229" w:rsidRPr="00293FA4">
        <w:rPr>
          <w:color w:val="949499" w:themeColor="accent3"/>
          <w:sz w:val="28"/>
          <w:szCs w:val="28"/>
          <w:highlight w:val="yellow"/>
        </w:rPr>
        <w:t>3</w:t>
      </w:r>
    </w:p>
    <w:p w14:paraId="46963604" w14:textId="77777777" w:rsidR="001E18B5" w:rsidRPr="00220C83" w:rsidRDefault="001E18B5" w:rsidP="001E18B5"/>
    <w:p w14:paraId="0BA31A70" w14:textId="77777777" w:rsidR="001E18B5" w:rsidRPr="00220C83" w:rsidRDefault="001E18B5" w:rsidP="001E18B5"/>
    <w:p w14:paraId="0B39EC25" w14:textId="77777777" w:rsidR="00155584" w:rsidRPr="00220C83" w:rsidRDefault="00155584" w:rsidP="00155584">
      <w:pPr>
        <w:spacing w:before="0" w:after="200" w:line="276" w:lineRule="auto"/>
        <w:jc w:val="left"/>
        <w:rPr>
          <w:rFonts w:cstheme="minorHAnsi"/>
          <w:sz w:val="28"/>
          <w:szCs w:val="28"/>
        </w:rPr>
      </w:pPr>
    </w:p>
    <w:p w14:paraId="45B030D8" w14:textId="4B16D641" w:rsidR="00293FA4" w:rsidRDefault="00293FA4">
      <w:pPr>
        <w:spacing w:before="0" w:after="160" w:line="259" w:lineRule="auto"/>
        <w:jc w:val="left"/>
        <w:rPr>
          <w:rFonts w:ascii="Calibri" w:hAnsi="Calibri"/>
          <w:b/>
          <w:bCs/>
          <w:color w:val="0A00BE"/>
          <w:sz w:val="36"/>
          <w:szCs w:val="36"/>
        </w:rPr>
      </w:pPr>
    </w:p>
    <w:p w14:paraId="551DF688" w14:textId="77777777" w:rsidR="0033740B" w:rsidRDefault="0033740B" w:rsidP="001E18B5">
      <w:pPr>
        <w:pStyle w:val="Kop1"/>
        <w:rPr>
          <w:lang w:val="fr-BE"/>
        </w:rPr>
        <w:sectPr w:rsidR="0033740B" w:rsidSect="0033740B">
          <w:headerReference w:type="default" r:id="rId8"/>
          <w:footerReference w:type="default" r:id="rId9"/>
          <w:footerReference w:type="first" r:id="rId10"/>
          <w:pgSz w:w="11906" w:h="16838" w:code="9"/>
          <w:pgMar w:top="1418" w:right="1418" w:bottom="1418" w:left="1418" w:header="850" w:footer="0" w:gutter="0"/>
          <w:pgNumType w:start="1"/>
          <w:cols w:space="708"/>
          <w:titlePg/>
          <w:docGrid w:linePitch="360"/>
        </w:sectPr>
      </w:pPr>
    </w:p>
    <w:p w14:paraId="025177A3" w14:textId="1837A3D8" w:rsidR="00155584" w:rsidRPr="00220C83" w:rsidRDefault="00892758" w:rsidP="001E18B5">
      <w:pPr>
        <w:pStyle w:val="Kop1"/>
        <w:rPr>
          <w:lang w:val="fr-BE"/>
        </w:rPr>
      </w:pPr>
      <w:proofErr w:type="spellStart"/>
      <w:r>
        <w:rPr>
          <w:lang w:val="fr-BE"/>
        </w:rPr>
        <w:lastRenderedPageBreak/>
        <w:t>Vooraf</w:t>
      </w:r>
      <w:proofErr w:type="spellEnd"/>
      <w:r>
        <w:rPr>
          <w:lang w:val="fr-BE"/>
        </w:rPr>
        <w:t xml:space="preserve"> </w:t>
      </w:r>
    </w:p>
    <w:p w14:paraId="67CDEC3B" w14:textId="76F42E47" w:rsidR="00E82D84" w:rsidRPr="00E82D84" w:rsidRDefault="00E82D84" w:rsidP="00E82D84">
      <w:pPr>
        <w:spacing w:after="120" w:line="276" w:lineRule="auto"/>
        <w:rPr>
          <w:rFonts w:ascii="Calibri" w:hAnsi="Calibri"/>
          <w:lang w:val="nl-BE"/>
        </w:rPr>
      </w:pPr>
      <w:r w:rsidRPr="00E82D84">
        <w:rPr>
          <w:rFonts w:ascii="Calibri" w:hAnsi="Calibri"/>
          <w:lang w:val="nl-BE"/>
        </w:rPr>
        <w:t xml:space="preserve">De </w:t>
      </w:r>
      <w:r>
        <w:rPr>
          <w:rFonts w:ascii="Calibri" w:hAnsi="Calibri"/>
          <w:lang w:val="nl-BE"/>
        </w:rPr>
        <w:t>Adviesraad v</w:t>
      </w:r>
      <w:r w:rsidRPr="00E82D84">
        <w:rPr>
          <w:rFonts w:ascii="Calibri" w:hAnsi="Calibri"/>
          <w:lang w:val="nl-BE"/>
        </w:rPr>
        <w:t>oor Sociaal Ondernemerschap (</w:t>
      </w:r>
      <w:r>
        <w:rPr>
          <w:rFonts w:ascii="Calibri" w:hAnsi="Calibri"/>
          <w:lang w:val="nl-BE"/>
        </w:rPr>
        <w:t>ARSO</w:t>
      </w:r>
      <w:r w:rsidRPr="00E82D84">
        <w:rPr>
          <w:rFonts w:ascii="Calibri" w:hAnsi="Calibri"/>
          <w:lang w:val="nl-BE"/>
        </w:rPr>
        <w:t>) wenst een initiatiefadvies uit te brengen over de wijzigingen die</w:t>
      </w:r>
      <w:r>
        <w:rPr>
          <w:rFonts w:ascii="Calibri" w:hAnsi="Calibri"/>
          <w:lang w:val="nl-BE"/>
        </w:rPr>
        <w:t xml:space="preserve"> nog</w:t>
      </w:r>
      <w:r w:rsidRPr="00E82D84">
        <w:rPr>
          <w:rFonts w:ascii="Calibri" w:hAnsi="Calibri"/>
          <w:lang w:val="nl-BE"/>
        </w:rPr>
        <w:t xml:space="preserve"> tijdens deze legislatuur</w:t>
      </w:r>
      <w:r>
        <w:rPr>
          <w:rFonts w:ascii="Calibri" w:hAnsi="Calibri"/>
          <w:lang w:val="nl-BE"/>
        </w:rPr>
        <w:t xml:space="preserve"> moeten</w:t>
      </w:r>
      <w:r w:rsidRPr="00E82D84">
        <w:rPr>
          <w:rFonts w:ascii="Calibri" w:hAnsi="Calibri"/>
          <w:lang w:val="nl-BE"/>
        </w:rPr>
        <w:t xml:space="preserve"> worden aangebracht aan het </w:t>
      </w:r>
      <w:r>
        <w:rPr>
          <w:rFonts w:ascii="Calibri" w:hAnsi="Calibri"/>
          <w:lang w:val="nl-BE"/>
        </w:rPr>
        <w:t>besluit</w:t>
      </w:r>
      <w:r w:rsidRPr="00E82D84">
        <w:rPr>
          <w:rFonts w:ascii="Calibri" w:hAnsi="Calibri"/>
          <w:lang w:val="nl-BE"/>
        </w:rPr>
        <w:t xml:space="preserve"> van 16 mei 2019 betreffende het </w:t>
      </w:r>
      <w:r>
        <w:rPr>
          <w:rFonts w:ascii="Calibri" w:hAnsi="Calibri"/>
          <w:lang w:val="nl-BE"/>
        </w:rPr>
        <w:t>inschakelings</w:t>
      </w:r>
      <w:r w:rsidRPr="00E82D84">
        <w:rPr>
          <w:rFonts w:ascii="Calibri" w:hAnsi="Calibri"/>
          <w:lang w:val="nl-BE"/>
        </w:rPr>
        <w:t xml:space="preserve">mandaat. De voorgestelde wijzigingen zijn van technische aard maar stellen de algemene filosofie van de </w:t>
      </w:r>
      <w:r>
        <w:rPr>
          <w:rFonts w:ascii="Calibri" w:hAnsi="Calibri"/>
          <w:lang w:val="nl-BE"/>
        </w:rPr>
        <w:t>voorzien</w:t>
      </w:r>
      <w:r w:rsidRPr="00E82D84">
        <w:rPr>
          <w:rFonts w:ascii="Calibri" w:hAnsi="Calibri"/>
          <w:lang w:val="nl-BE"/>
        </w:rPr>
        <w:t>ing niet in vraag.</w:t>
      </w:r>
    </w:p>
    <w:p w14:paraId="61EC7942" w14:textId="37A860C6" w:rsidR="00E82D84" w:rsidRPr="00E82D84" w:rsidRDefault="00E82D84" w:rsidP="00E82D84">
      <w:pPr>
        <w:spacing w:after="120" w:line="276" w:lineRule="auto"/>
        <w:rPr>
          <w:rFonts w:ascii="Calibri" w:hAnsi="Calibri"/>
          <w:lang w:val="nl-BE"/>
        </w:rPr>
      </w:pPr>
      <w:r w:rsidRPr="00E82D84">
        <w:rPr>
          <w:rFonts w:ascii="Calibri" w:hAnsi="Calibri"/>
          <w:lang w:val="nl-BE"/>
        </w:rPr>
        <w:t xml:space="preserve">De </w:t>
      </w:r>
      <w:r>
        <w:rPr>
          <w:rFonts w:ascii="Calibri" w:hAnsi="Calibri"/>
          <w:lang w:val="nl-BE"/>
        </w:rPr>
        <w:t>ARSO</w:t>
      </w:r>
      <w:r w:rsidRPr="00E82D84">
        <w:rPr>
          <w:rFonts w:ascii="Calibri" w:hAnsi="Calibri"/>
          <w:lang w:val="nl-BE"/>
        </w:rPr>
        <w:t xml:space="preserve"> behoudt zich het recht voor om op een later tijdstip een meer gedetailleerd advies uit te brengen over de ordonnanties van 23 juni 2017 betreffende de werkgelegenheidssteun in het Brussels Hoofdstedelijk Gewest en van 23 juli 2018 betreffende de erkenning en </w:t>
      </w:r>
      <w:r>
        <w:rPr>
          <w:rFonts w:ascii="Calibri" w:hAnsi="Calibri"/>
          <w:lang w:val="nl-BE"/>
        </w:rPr>
        <w:t xml:space="preserve">de </w:t>
      </w:r>
      <w:r w:rsidRPr="00E82D84">
        <w:rPr>
          <w:rFonts w:ascii="Calibri" w:hAnsi="Calibri"/>
          <w:lang w:val="nl-BE"/>
        </w:rPr>
        <w:t xml:space="preserve">ondersteuning van </w:t>
      </w:r>
      <w:r w:rsidR="002B72CD">
        <w:rPr>
          <w:rFonts w:ascii="Calibri" w:hAnsi="Calibri"/>
          <w:lang w:val="nl-BE"/>
        </w:rPr>
        <w:t xml:space="preserve">de </w:t>
      </w:r>
      <w:r w:rsidRPr="00E82D84">
        <w:rPr>
          <w:rFonts w:ascii="Calibri" w:hAnsi="Calibri"/>
          <w:lang w:val="nl-BE"/>
        </w:rPr>
        <w:t>sociale ondernemingen.</w:t>
      </w:r>
    </w:p>
    <w:p w14:paraId="47F4D369" w14:textId="021C3399" w:rsidR="00E82D84" w:rsidRPr="00E82D84" w:rsidRDefault="00E82D84" w:rsidP="00E82D84">
      <w:pPr>
        <w:spacing w:after="120" w:line="276" w:lineRule="auto"/>
        <w:rPr>
          <w:rFonts w:ascii="Calibri" w:hAnsi="Calibri"/>
          <w:lang w:val="nl-BE"/>
        </w:rPr>
      </w:pPr>
      <w:r>
        <w:rPr>
          <w:rFonts w:ascii="Calibri" w:hAnsi="Calibri"/>
          <w:lang w:val="nl-BE"/>
        </w:rPr>
        <w:t>Het besluit</w:t>
      </w:r>
      <w:r w:rsidRPr="00E82D84">
        <w:rPr>
          <w:rFonts w:ascii="Calibri" w:hAnsi="Calibri"/>
          <w:lang w:val="nl-BE"/>
        </w:rPr>
        <w:t xml:space="preserve"> van 16 mei 2019 legt het kader voor de mandatering v</w:t>
      </w:r>
      <w:r>
        <w:rPr>
          <w:rFonts w:ascii="Calibri" w:hAnsi="Calibri"/>
          <w:lang w:val="nl-BE"/>
        </w:rPr>
        <w:t>oor</w:t>
      </w:r>
      <w:r w:rsidRPr="00E82D84">
        <w:rPr>
          <w:rFonts w:ascii="Calibri" w:hAnsi="Calibri"/>
          <w:lang w:val="nl-BE"/>
        </w:rPr>
        <w:t xml:space="preserve"> inschakeling</w:t>
      </w:r>
      <w:r>
        <w:rPr>
          <w:rFonts w:ascii="Calibri" w:hAnsi="Calibri"/>
          <w:lang w:val="nl-BE"/>
        </w:rPr>
        <w:t xml:space="preserve"> vast</w:t>
      </w:r>
      <w:r w:rsidRPr="00E82D84">
        <w:rPr>
          <w:rFonts w:ascii="Calibri" w:hAnsi="Calibri"/>
          <w:lang w:val="nl-BE"/>
        </w:rPr>
        <w:t xml:space="preserve">. Het </w:t>
      </w:r>
      <w:r>
        <w:rPr>
          <w:rFonts w:ascii="Calibri" w:hAnsi="Calibri"/>
          <w:lang w:val="nl-BE"/>
        </w:rPr>
        <w:t>betreft</w:t>
      </w:r>
      <w:r w:rsidRPr="00E82D84">
        <w:rPr>
          <w:rFonts w:ascii="Calibri" w:hAnsi="Calibri"/>
          <w:lang w:val="nl-BE"/>
        </w:rPr>
        <w:t xml:space="preserve"> de uitvoering van een inschakelingsprogramma voor een doelgroep </w:t>
      </w:r>
      <w:r>
        <w:rPr>
          <w:rFonts w:ascii="Calibri" w:hAnsi="Calibri"/>
          <w:lang w:val="nl-BE"/>
        </w:rPr>
        <w:t>d</w:t>
      </w:r>
      <w:r w:rsidR="002B72CD">
        <w:rPr>
          <w:rFonts w:ascii="Calibri" w:hAnsi="Calibri"/>
          <w:lang w:val="nl-BE"/>
        </w:rPr>
        <w:t>ie</w:t>
      </w:r>
      <w:r>
        <w:rPr>
          <w:rFonts w:ascii="Calibri" w:hAnsi="Calibri"/>
          <w:lang w:val="nl-BE"/>
        </w:rPr>
        <w:t xml:space="preserve"> ver van </w:t>
      </w:r>
      <w:r w:rsidRPr="00E82D84">
        <w:rPr>
          <w:rFonts w:ascii="Calibri" w:hAnsi="Calibri"/>
          <w:lang w:val="nl-BE"/>
        </w:rPr>
        <w:t>de arbeidsmarkt</w:t>
      </w:r>
      <w:r>
        <w:rPr>
          <w:rFonts w:ascii="Calibri" w:hAnsi="Calibri"/>
          <w:lang w:val="nl-BE"/>
        </w:rPr>
        <w:t xml:space="preserve"> staat</w:t>
      </w:r>
      <w:r w:rsidRPr="00E82D84">
        <w:rPr>
          <w:rFonts w:ascii="Calibri" w:hAnsi="Calibri"/>
          <w:lang w:val="nl-BE"/>
        </w:rPr>
        <w:t>. De ui</w:t>
      </w:r>
      <w:r>
        <w:rPr>
          <w:rFonts w:ascii="Calibri" w:hAnsi="Calibri"/>
          <w:lang w:val="nl-BE"/>
        </w:rPr>
        <w:t>t</w:t>
      </w:r>
      <w:r w:rsidRPr="00E82D84">
        <w:rPr>
          <w:rFonts w:ascii="Calibri" w:hAnsi="Calibri"/>
          <w:lang w:val="nl-BE"/>
        </w:rPr>
        <w:t>voering van dit inschakelingsprogramma vormt een dienst van algemeen economisch belang (DAEB)</w:t>
      </w:r>
      <w:r w:rsidR="002B72CD">
        <w:rPr>
          <w:rFonts w:ascii="Calibri" w:hAnsi="Calibri"/>
          <w:lang w:val="nl-BE"/>
        </w:rPr>
        <w:t xml:space="preserve"> en</w:t>
      </w:r>
      <w:r w:rsidRPr="00E82D84">
        <w:rPr>
          <w:rFonts w:ascii="Calibri" w:hAnsi="Calibri"/>
          <w:lang w:val="nl-BE"/>
        </w:rPr>
        <w:t xml:space="preserve"> geeft recht op een </w:t>
      </w:r>
      <w:r>
        <w:rPr>
          <w:rFonts w:ascii="Calibri" w:hAnsi="Calibri"/>
          <w:lang w:val="nl-BE"/>
        </w:rPr>
        <w:t>compensatie</w:t>
      </w:r>
      <w:r w:rsidRPr="00E82D84">
        <w:rPr>
          <w:rFonts w:ascii="Calibri" w:hAnsi="Calibri"/>
          <w:lang w:val="nl-BE"/>
        </w:rPr>
        <w:t xml:space="preserve"> die een deel van de begeleiding van de doelgroep dekt, maar niet de doelgroep als zodanig. </w:t>
      </w:r>
    </w:p>
    <w:p w14:paraId="6FB52B5D" w14:textId="77777777" w:rsidR="005536FD" w:rsidRDefault="00E82D84" w:rsidP="005536FD">
      <w:pPr>
        <w:spacing w:after="120" w:line="276" w:lineRule="auto"/>
        <w:rPr>
          <w:rFonts w:ascii="Calibri" w:hAnsi="Calibri"/>
          <w:lang w:val="nl-BE"/>
        </w:rPr>
      </w:pPr>
      <w:r w:rsidRPr="00E82D84">
        <w:rPr>
          <w:rFonts w:ascii="Calibri" w:hAnsi="Calibri"/>
          <w:lang w:val="nl-BE"/>
        </w:rPr>
        <w:t xml:space="preserve">Om </w:t>
      </w:r>
      <w:r>
        <w:rPr>
          <w:rFonts w:ascii="Calibri" w:hAnsi="Calibri"/>
          <w:lang w:val="nl-BE"/>
        </w:rPr>
        <w:t>voor inschakeling te worden gemandateerd</w:t>
      </w:r>
      <w:r w:rsidRPr="00E82D84">
        <w:rPr>
          <w:rFonts w:ascii="Calibri" w:hAnsi="Calibri"/>
          <w:lang w:val="nl-BE"/>
        </w:rPr>
        <w:t xml:space="preserve">, moeten </w:t>
      </w:r>
      <w:r>
        <w:rPr>
          <w:rFonts w:ascii="Calibri" w:hAnsi="Calibri"/>
          <w:lang w:val="nl-BE"/>
        </w:rPr>
        <w:t>de structuren</w:t>
      </w:r>
      <w:r w:rsidRPr="00E82D84">
        <w:rPr>
          <w:rFonts w:ascii="Calibri" w:hAnsi="Calibri"/>
          <w:lang w:val="nl-BE"/>
        </w:rPr>
        <w:t xml:space="preserve"> eerst erkend worden als sociale onderneming, hetzij als een publiek initiatief </w:t>
      </w:r>
      <w:r>
        <w:rPr>
          <w:rFonts w:ascii="Calibri" w:hAnsi="Calibri"/>
          <w:lang w:val="nl-BE"/>
        </w:rPr>
        <w:t xml:space="preserve">in </w:t>
      </w:r>
      <w:r w:rsidRPr="00E82D84">
        <w:rPr>
          <w:rFonts w:ascii="Calibri" w:hAnsi="Calibri"/>
          <w:lang w:val="nl-BE"/>
        </w:rPr>
        <w:t>socia</w:t>
      </w:r>
      <w:r>
        <w:rPr>
          <w:rFonts w:ascii="Calibri" w:hAnsi="Calibri"/>
          <w:lang w:val="nl-BE"/>
        </w:rPr>
        <w:t>a</w:t>
      </w:r>
      <w:r w:rsidRPr="00E82D84">
        <w:rPr>
          <w:rFonts w:ascii="Calibri" w:hAnsi="Calibri"/>
          <w:lang w:val="nl-BE"/>
        </w:rPr>
        <w:t xml:space="preserve">l </w:t>
      </w:r>
      <w:r>
        <w:rPr>
          <w:rFonts w:ascii="Calibri" w:hAnsi="Calibri"/>
          <w:lang w:val="nl-BE"/>
        </w:rPr>
        <w:t xml:space="preserve">ondernemerschap </w:t>
      </w:r>
      <w:r w:rsidRPr="00E82D84">
        <w:rPr>
          <w:rFonts w:ascii="Calibri" w:hAnsi="Calibri"/>
          <w:lang w:val="nl-BE"/>
        </w:rPr>
        <w:t>(P</w:t>
      </w:r>
      <w:r>
        <w:rPr>
          <w:rFonts w:ascii="Calibri" w:hAnsi="Calibri"/>
          <w:lang w:val="nl-BE"/>
        </w:rPr>
        <w:t>ISO</w:t>
      </w:r>
      <w:r w:rsidRPr="00E82D84">
        <w:rPr>
          <w:rFonts w:ascii="Calibri" w:hAnsi="Calibri"/>
          <w:lang w:val="nl-BE"/>
        </w:rPr>
        <w:t>) in het geval van een publieke organisatie, hetzij als een sociale en democratische onderneming (</w:t>
      </w:r>
      <w:r>
        <w:rPr>
          <w:rFonts w:ascii="Calibri" w:hAnsi="Calibri"/>
          <w:lang w:val="nl-BE"/>
        </w:rPr>
        <w:t>SDO</w:t>
      </w:r>
      <w:r w:rsidRPr="00E82D84">
        <w:rPr>
          <w:rFonts w:ascii="Calibri" w:hAnsi="Calibri"/>
          <w:lang w:val="nl-BE"/>
        </w:rPr>
        <w:t xml:space="preserve">) in het geval van een private organisatie, overeenkomstig de bepalingen van de ordonnantie van 23 juli 2018. Eenmaal </w:t>
      </w:r>
      <w:r w:rsidR="005536FD">
        <w:rPr>
          <w:rFonts w:ascii="Calibri" w:hAnsi="Calibri"/>
          <w:lang w:val="nl-BE"/>
        </w:rPr>
        <w:t>erken</w:t>
      </w:r>
      <w:r w:rsidRPr="00E82D84">
        <w:rPr>
          <w:rFonts w:ascii="Calibri" w:hAnsi="Calibri"/>
          <w:lang w:val="nl-BE"/>
        </w:rPr>
        <w:t xml:space="preserve">d, kunnen </w:t>
      </w:r>
      <w:r w:rsidR="005536FD">
        <w:rPr>
          <w:rFonts w:ascii="Calibri" w:hAnsi="Calibri"/>
          <w:lang w:val="nl-BE"/>
        </w:rPr>
        <w:t>de</w:t>
      </w:r>
      <w:r w:rsidRPr="00E82D84">
        <w:rPr>
          <w:rFonts w:ascii="Calibri" w:hAnsi="Calibri"/>
          <w:lang w:val="nl-BE"/>
        </w:rPr>
        <w:t xml:space="preserve">ze reageren op de </w:t>
      </w:r>
      <w:r w:rsidR="005536FD">
        <w:rPr>
          <w:rFonts w:ascii="Calibri" w:hAnsi="Calibri"/>
          <w:lang w:val="nl-BE"/>
        </w:rPr>
        <w:t>kandidaten</w:t>
      </w:r>
      <w:r w:rsidRPr="00E82D84">
        <w:rPr>
          <w:rFonts w:ascii="Calibri" w:hAnsi="Calibri"/>
          <w:lang w:val="nl-BE"/>
        </w:rPr>
        <w:t xml:space="preserve">oproep die elk jaar door de </w:t>
      </w:r>
      <w:r w:rsidR="005536FD">
        <w:rPr>
          <w:rFonts w:ascii="Calibri" w:hAnsi="Calibri"/>
          <w:lang w:val="nl-BE"/>
        </w:rPr>
        <w:t>m</w:t>
      </w:r>
      <w:r w:rsidRPr="00E82D84">
        <w:rPr>
          <w:rFonts w:ascii="Calibri" w:hAnsi="Calibri"/>
          <w:lang w:val="nl-BE"/>
        </w:rPr>
        <w:t xml:space="preserve">inister van Tewerkstelling wordt gelanceerd om </w:t>
      </w:r>
      <w:r w:rsidR="005536FD">
        <w:rPr>
          <w:rFonts w:ascii="Calibri" w:hAnsi="Calibri"/>
          <w:lang w:val="nl-BE"/>
        </w:rPr>
        <w:t>voor inschakeling te worden gemandateerd</w:t>
      </w:r>
      <w:r w:rsidRPr="00E82D84">
        <w:rPr>
          <w:rFonts w:ascii="Calibri" w:hAnsi="Calibri"/>
          <w:lang w:val="nl-BE"/>
        </w:rPr>
        <w:t>.</w:t>
      </w:r>
    </w:p>
    <w:p w14:paraId="14654E92" w14:textId="6A787D51" w:rsidR="005536FD" w:rsidRPr="005536FD" w:rsidRDefault="005536FD" w:rsidP="005536FD">
      <w:pPr>
        <w:spacing w:after="120" w:line="276" w:lineRule="auto"/>
        <w:rPr>
          <w:rFonts w:ascii="Calibri" w:hAnsi="Calibri"/>
          <w:lang w:val="nl-BE"/>
        </w:rPr>
      </w:pPr>
      <w:r w:rsidRPr="005536FD">
        <w:rPr>
          <w:rFonts w:ascii="Calibri" w:hAnsi="Calibri"/>
          <w:lang w:val="nl-BE"/>
        </w:rPr>
        <w:t>Wat het doelpubliek betreft, preciseert hoofdstuk 2 van de ordonnantie van 23 juni 2017 betreffende de werkgelegenheidssteun</w:t>
      </w:r>
      <w:r w:rsidR="0053172C">
        <w:rPr>
          <w:rFonts w:ascii="Calibri" w:hAnsi="Calibri"/>
          <w:lang w:val="nl-BE"/>
        </w:rPr>
        <w:t>,</w:t>
      </w:r>
      <w:r w:rsidRPr="005536FD">
        <w:rPr>
          <w:rFonts w:ascii="Calibri" w:hAnsi="Calibri"/>
          <w:lang w:val="nl-BE"/>
        </w:rPr>
        <w:t xml:space="preserve"> die </w:t>
      </w:r>
      <w:r w:rsidR="002B72CD">
        <w:rPr>
          <w:rFonts w:ascii="Calibri" w:hAnsi="Calibri"/>
          <w:lang w:val="nl-BE"/>
        </w:rPr>
        <w:t>verkrijgbaar</w:t>
      </w:r>
      <w:r w:rsidRPr="005536FD">
        <w:rPr>
          <w:rFonts w:ascii="Calibri" w:hAnsi="Calibri"/>
          <w:lang w:val="nl-BE"/>
        </w:rPr>
        <w:t xml:space="preserve"> is in het Brussels Hoofdstedelijk Gewest</w:t>
      </w:r>
      <w:r w:rsidR="0053172C">
        <w:rPr>
          <w:rFonts w:ascii="Calibri" w:hAnsi="Calibri"/>
          <w:lang w:val="nl-BE"/>
        </w:rPr>
        <w:t>,</w:t>
      </w:r>
      <w:r w:rsidRPr="005536FD">
        <w:rPr>
          <w:rFonts w:ascii="Calibri" w:hAnsi="Calibri"/>
          <w:lang w:val="nl-BE"/>
        </w:rPr>
        <w:t xml:space="preserve"> de arbeidsinschakelingsvoorzieningen waarop de sociale inschakelingsondernemingen een beroep kunnen doen en die hen recht geven op de financiering van hun begeleiding:</w:t>
      </w:r>
    </w:p>
    <w:p w14:paraId="11B8DC75" w14:textId="4897667D" w:rsidR="001400BE" w:rsidRPr="005536FD" w:rsidRDefault="005536FD" w:rsidP="001400BE">
      <w:pPr>
        <w:pStyle w:val="Lijstalinea"/>
        <w:numPr>
          <w:ilvl w:val="0"/>
          <w:numId w:val="37"/>
        </w:numPr>
        <w:spacing w:after="120" w:line="276" w:lineRule="auto"/>
        <w:rPr>
          <w:rFonts w:ascii="Calibri" w:hAnsi="Calibri"/>
          <w:lang w:val="nl-BE"/>
        </w:rPr>
      </w:pPr>
      <w:r w:rsidRPr="005536FD">
        <w:rPr>
          <w:rFonts w:ascii="Calibri" w:hAnsi="Calibri"/>
          <w:lang w:val="nl-BE"/>
        </w:rPr>
        <w:t xml:space="preserve">De artikelen 60, met inbegrip van de zogenaamde </w:t>
      </w:r>
      <w:r>
        <w:rPr>
          <w:rFonts w:ascii="Calibri" w:hAnsi="Calibri"/>
          <w:lang w:val="nl-BE"/>
        </w:rPr>
        <w:t xml:space="preserve">artikelen 60 </w:t>
      </w:r>
      <w:r w:rsidRPr="005536FD">
        <w:rPr>
          <w:rFonts w:ascii="Calibri" w:hAnsi="Calibri"/>
          <w:lang w:val="nl-BE"/>
        </w:rPr>
        <w:t>"sociale economie"</w:t>
      </w:r>
    </w:p>
    <w:p w14:paraId="7BEE1EE9" w14:textId="63F063FF" w:rsidR="001400BE" w:rsidRPr="005536FD" w:rsidRDefault="005536FD" w:rsidP="001400BE">
      <w:pPr>
        <w:pStyle w:val="Lijstalinea"/>
        <w:numPr>
          <w:ilvl w:val="0"/>
          <w:numId w:val="37"/>
        </w:numPr>
        <w:spacing w:after="120" w:line="276" w:lineRule="auto"/>
        <w:rPr>
          <w:rFonts w:ascii="Calibri" w:hAnsi="Calibri"/>
          <w:lang w:val="nl-BE"/>
        </w:rPr>
      </w:pPr>
      <w:r w:rsidRPr="005536FD">
        <w:rPr>
          <w:rFonts w:ascii="Calibri" w:hAnsi="Calibri"/>
          <w:lang w:val="nl-BE"/>
        </w:rPr>
        <w:t>De voorziening voor inschakelings</w:t>
      </w:r>
      <w:r>
        <w:rPr>
          <w:rFonts w:ascii="Calibri" w:hAnsi="Calibri"/>
          <w:lang w:val="nl-BE"/>
        </w:rPr>
        <w:t>banen</w:t>
      </w:r>
      <w:r w:rsidRPr="005536FD">
        <w:rPr>
          <w:rFonts w:ascii="Calibri" w:hAnsi="Calibri"/>
          <w:lang w:val="nl-BE"/>
        </w:rPr>
        <w:t xml:space="preserve"> in de sociale econ</w:t>
      </w:r>
      <w:r>
        <w:rPr>
          <w:rFonts w:ascii="Calibri" w:hAnsi="Calibri"/>
          <w:lang w:val="nl-BE"/>
        </w:rPr>
        <w:t>omie</w:t>
      </w:r>
      <w:r w:rsidR="004F4BA9" w:rsidRPr="005536FD">
        <w:rPr>
          <w:rFonts w:ascii="Calibri" w:hAnsi="Calibri"/>
          <w:lang w:val="nl-BE"/>
        </w:rPr>
        <w:t xml:space="preserve"> (</w:t>
      </w:r>
      <w:r w:rsidR="005E2E81" w:rsidRPr="005536FD">
        <w:rPr>
          <w:rFonts w:ascii="Calibri" w:hAnsi="Calibri"/>
          <w:lang w:val="nl-BE"/>
        </w:rPr>
        <w:t>DEIES</w:t>
      </w:r>
      <w:r w:rsidR="00A13FAC" w:rsidRPr="005536FD">
        <w:rPr>
          <w:rFonts w:ascii="Calibri" w:hAnsi="Calibri"/>
          <w:lang w:val="nl-BE"/>
        </w:rPr>
        <w:t>, o</w:t>
      </w:r>
      <w:r>
        <w:rPr>
          <w:rFonts w:ascii="Calibri" w:hAnsi="Calibri"/>
          <w:lang w:val="nl-BE"/>
        </w:rPr>
        <w:t>f</w:t>
      </w:r>
      <w:r w:rsidR="00A13FAC" w:rsidRPr="005536FD">
        <w:rPr>
          <w:rFonts w:ascii="Calibri" w:hAnsi="Calibri"/>
          <w:lang w:val="nl-BE"/>
        </w:rPr>
        <w:t xml:space="preserve"> ECOSOC</w:t>
      </w:r>
      <w:r w:rsidR="005E2E81" w:rsidRPr="005536FD">
        <w:rPr>
          <w:rFonts w:ascii="Calibri" w:hAnsi="Calibri"/>
          <w:lang w:val="nl-BE"/>
        </w:rPr>
        <w:t xml:space="preserve"> </w:t>
      </w:r>
      <w:r>
        <w:rPr>
          <w:rFonts w:ascii="Calibri" w:hAnsi="Calibri"/>
          <w:lang w:val="nl-BE"/>
        </w:rPr>
        <w:t xml:space="preserve">“doorstroming” </w:t>
      </w:r>
      <w:r w:rsidR="001400BE" w:rsidRPr="005536FD">
        <w:rPr>
          <w:rFonts w:ascii="Calibri" w:hAnsi="Calibri"/>
          <w:lang w:val="nl-BE"/>
        </w:rPr>
        <w:t>e</w:t>
      </w:r>
      <w:r>
        <w:rPr>
          <w:rFonts w:ascii="Calibri" w:hAnsi="Calibri"/>
          <w:lang w:val="nl-BE"/>
        </w:rPr>
        <w:t>n</w:t>
      </w:r>
      <w:r w:rsidR="001400BE" w:rsidRPr="005536FD">
        <w:rPr>
          <w:rFonts w:ascii="Calibri" w:hAnsi="Calibri"/>
          <w:lang w:val="nl-BE"/>
        </w:rPr>
        <w:t>/o</w:t>
      </w:r>
      <w:r>
        <w:rPr>
          <w:rFonts w:ascii="Calibri" w:hAnsi="Calibri"/>
          <w:lang w:val="nl-BE"/>
        </w:rPr>
        <w:t>f</w:t>
      </w:r>
      <w:r w:rsidR="001400BE" w:rsidRPr="005536FD">
        <w:rPr>
          <w:rFonts w:ascii="Calibri" w:hAnsi="Calibri"/>
          <w:lang w:val="nl-BE"/>
        </w:rPr>
        <w:t xml:space="preserve"> </w:t>
      </w:r>
      <w:r>
        <w:rPr>
          <w:rFonts w:ascii="Calibri" w:hAnsi="Calibri"/>
          <w:lang w:val="nl-BE"/>
        </w:rPr>
        <w:t>“</w:t>
      </w:r>
      <w:r w:rsidR="001400BE" w:rsidRPr="005536FD">
        <w:rPr>
          <w:rFonts w:ascii="Calibri" w:hAnsi="Calibri"/>
          <w:lang w:val="nl-BE"/>
        </w:rPr>
        <w:t>ins</w:t>
      </w:r>
      <w:r>
        <w:rPr>
          <w:rFonts w:ascii="Calibri" w:hAnsi="Calibri"/>
          <w:lang w:val="nl-BE"/>
        </w:rPr>
        <w:t>chakeling”</w:t>
      </w:r>
      <w:r w:rsidR="004F4BA9" w:rsidRPr="005536FD">
        <w:rPr>
          <w:rFonts w:ascii="Calibri" w:hAnsi="Calibri"/>
          <w:lang w:val="nl-BE"/>
        </w:rPr>
        <w:t>)</w:t>
      </w:r>
      <w:r w:rsidR="00BD79A2">
        <w:rPr>
          <w:rStyle w:val="Voetnootmarkering"/>
          <w:rFonts w:ascii="Calibri" w:hAnsi="Calibri"/>
        </w:rPr>
        <w:footnoteReference w:id="1"/>
      </w:r>
    </w:p>
    <w:p w14:paraId="31CB7652" w14:textId="3CC90540" w:rsidR="005536FD" w:rsidRPr="005536FD" w:rsidRDefault="005536FD" w:rsidP="005536FD">
      <w:pPr>
        <w:pStyle w:val="Lijstalinea"/>
        <w:numPr>
          <w:ilvl w:val="0"/>
          <w:numId w:val="37"/>
        </w:numPr>
        <w:spacing w:after="120" w:line="276" w:lineRule="auto"/>
        <w:rPr>
          <w:rFonts w:ascii="Calibri" w:hAnsi="Calibri"/>
        </w:rPr>
      </w:pPr>
      <w:r>
        <w:rPr>
          <w:rFonts w:ascii="Calibri" w:hAnsi="Calibri"/>
        </w:rPr>
        <w:t xml:space="preserve">De </w:t>
      </w:r>
      <w:proofErr w:type="spellStart"/>
      <w:r>
        <w:rPr>
          <w:rFonts w:ascii="Calibri" w:hAnsi="Calibri"/>
        </w:rPr>
        <w:t>GECO’s</w:t>
      </w:r>
      <w:proofErr w:type="spellEnd"/>
      <w:r>
        <w:rPr>
          <w:rFonts w:ascii="Calibri" w:hAnsi="Calibri"/>
        </w:rPr>
        <w:t xml:space="preserve"> </w:t>
      </w:r>
      <w:r w:rsidRPr="005536FD">
        <w:rPr>
          <w:rFonts w:ascii="Calibri" w:hAnsi="Calibri"/>
          <w:lang w:val="nl-BE"/>
        </w:rPr>
        <w:t>"</w:t>
      </w:r>
      <w:proofErr w:type="spellStart"/>
      <w:r>
        <w:rPr>
          <w:rFonts w:ascii="Calibri" w:hAnsi="Calibri"/>
        </w:rPr>
        <w:t>inschakeling</w:t>
      </w:r>
      <w:proofErr w:type="spellEnd"/>
      <w:r w:rsidRPr="005536FD">
        <w:rPr>
          <w:rFonts w:ascii="Calibri" w:hAnsi="Calibri"/>
          <w:lang w:val="nl-BE"/>
        </w:rPr>
        <w:t>"</w:t>
      </w:r>
    </w:p>
    <w:p w14:paraId="2F37864B" w14:textId="63ABACB8" w:rsidR="005536FD" w:rsidRPr="005536FD" w:rsidRDefault="005536FD" w:rsidP="005536FD">
      <w:pPr>
        <w:spacing w:after="120" w:line="276" w:lineRule="auto"/>
        <w:rPr>
          <w:rFonts w:ascii="Calibri" w:hAnsi="Calibri"/>
          <w:lang w:val="nl-BE"/>
        </w:rPr>
      </w:pPr>
      <w:r w:rsidRPr="005536FD">
        <w:rPr>
          <w:rFonts w:ascii="Calibri" w:hAnsi="Calibri"/>
          <w:lang w:val="nl-BE"/>
        </w:rPr>
        <w:t xml:space="preserve">Als een persoon voldoet aan de voorwaarden van deze statuten maar er geen gebruik van maakt, </w:t>
      </w:r>
      <w:r>
        <w:rPr>
          <w:rFonts w:ascii="Calibri" w:hAnsi="Calibri"/>
          <w:lang w:val="nl-BE"/>
        </w:rPr>
        <w:t xml:space="preserve">dan </w:t>
      </w:r>
      <w:r w:rsidRPr="005536FD">
        <w:rPr>
          <w:rFonts w:ascii="Calibri" w:hAnsi="Calibri"/>
          <w:lang w:val="nl-BE"/>
        </w:rPr>
        <w:t xml:space="preserve">zal zijn begeleiding niet </w:t>
      </w:r>
      <w:r>
        <w:rPr>
          <w:rFonts w:ascii="Calibri" w:hAnsi="Calibri"/>
          <w:lang w:val="nl-BE"/>
        </w:rPr>
        <w:t xml:space="preserve">via dit besluit </w:t>
      </w:r>
      <w:r w:rsidRPr="005536FD">
        <w:rPr>
          <w:rFonts w:ascii="Calibri" w:hAnsi="Calibri"/>
          <w:lang w:val="nl-BE"/>
        </w:rPr>
        <w:t>gefinancierd worden.</w:t>
      </w:r>
    </w:p>
    <w:p w14:paraId="7B036A95" w14:textId="62B0D7F1" w:rsidR="005536FD" w:rsidRPr="005536FD" w:rsidRDefault="005536FD" w:rsidP="005536FD">
      <w:pPr>
        <w:spacing w:after="120" w:line="276" w:lineRule="auto"/>
        <w:rPr>
          <w:rFonts w:ascii="Calibri" w:hAnsi="Calibri"/>
          <w:lang w:val="nl-BE"/>
        </w:rPr>
      </w:pPr>
      <w:r w:rsidRPr="005536FD">
        <w:rPr>
          <w:rFonts w:ascii="Calibri" w:hAnsi="Calibri"/>
          <w:lang w:val="nl-BE"/>
        </w:rPr>
        <w:t>Het in</w:t>
      </w:r>
      <w:r w:rsidR="00162905">
        <w:rPr>
          <w:rFonts w:ascii="Calibri" w:hAnsi="Calibri"/>
          <w:lang w:val="nl-BE"/>
        </w:rPr>
        <w:t>schakelings</w:t>
      </w:r>
      <w:r w:rsidRPr="005536FD">
        <w:rPr>
          <w:rFonts w:ascii="Calibri" w:hAnsi="Calibri"/>
          <w:lang w:val="nl-BE"/>
        </w:rPr>
        <w:t xml:space="preserve">programma </w:t>
      </w:r>
      <w:r w:rsidR="00162905">
        <w:rPr>
          <w:rFonts w:ascii="Calibri" w:hAnsi="Calibri"/>
          <w:lang w:val="nl-BE"/>
        </w:rPr>
        <w:t>maakt</w:t>
      </w:r>
      <w:r w:rsidRPr="005536FD">
        <w:rPr>
          <w:rFonts w:ascii="Calibri" w:hAnsi="Calibri"/>
          <w:lang w:val="nl-BE"/>
        </w:rPr>
        <w:t xml:space="preserve"> het voorwerp van een advies van </w:t>
      </w:r>
      <w:proofErr w:type="spellStart"/>
      <w:r w:rsidRPr="005536FD">
        <w:rPr>
          <w:rFonts w:ascii="Calibri" w:hAnsi="Calibri"/>
          <w:lang w:val="nl-BE"/>
        </w:rPr>
        <w:t>Actiris</w:t>
      </w:r>
      <w:proofErr w:type="spellEnd"/>
      <w:r w:rsidR="00162905">
        <w:rPr>
          <w:rFonts w:ascii="Calibri" w:hAnsi="Calibri"/>
          <w:lang w:val="nl-BE"/>
        </w:rPr>
        <w:t xml:space="preserve"> uit</w:t>
      </w:r>
      <w:r w:rsidRPr="005536FD">
        <w:rPr>
          <w:rFonts w:ascii="Calibri" w:hAnsi="Calibri"/>
          <w:lang w:val="nl-BE"/>
        </w:rPr>
        <w:t>, die ook ECOSOC-tewerkstellingssteun toekent, en van</w:t>
      </w:r>
      <w:r w:rsidR="00162905">
        <w:rPr>
          <w:rFonts w:ascii="Calibri" w:hAnsi="Calibri"/>
          <w:lang w:val="nl-BE"/>
        </w:rPr>
        <w:t>wege</w:t>
      </w:r>
      <w:r w:rsidRPr="005536FD">
        <w:rPr>
          <w:rFonts w:ascii="Calibri" w:hAnsi="Calibri"/>
          <w:lang w:val="nl-BE"/>
        </w:rPr>
        <w:t xml:space="preserve"> de </w:t>
      </w:r>
      <w:r w:rsidR="00162905">
        <w:rPr>
          <w:rFonts w:ascii="Calibri" w:hAnsi="Calibri"/>
          <w:lang w:val="nl-BE"/>
        </w:rPr>
        <w:t>ARSO</w:t>
      </w:r>
      <w:r w:rsidRPr="005536FD">
        <w:rPr>
          <w:rFonts w:ascii="Calibri" w:hAnsi="Calibri"/>
          <w:lang w:val="nl-BE"/>
        </w:rPr>
        <w:t xml:space="preserve">. De </w:t>
      </w:r>
      <w:r w:rsidR="00162905">
        <w:rPr>
          <w:rFonts w:ascii="Calibri" w:hAnsi="Calibri"/>
          <w:lang w:val="nl-BE"/>
        </w:rPr>
        <w:t>m</w:t>
      </w:r>
      <w:r w:rsidRPr="005536FD">
        <w:rPr>
          <w:rFonts w:ascii="Calibri" w:hAnsi="Calibri"/>
          <w:lang w:val="nl-BE"/>
        </w:rPr>
        <w:t xml:space="preserve">inister van Tewerkstelling beslist </w:t>
      </w:r>
      <w:r w:rsidR="00162905">
        <w:rPr>
          <w:rFonts w:ascii="Calibri" w:hAnsi="Calibri"/>
          <w:lang w:val="nl-BE"/>
        </w:rPr>
        <w:t>vervolgens</w:t>
      </w:r>
      <w:r w:rsidRPr="005536FD">
        <w:rPr>
          <w:rFonts w:ascii="Calibri" w:hAnsi="Calibri"/>
          <w:lang w:val="nl-BE"/>
        </w:rPr>
        <w:t xml:space="preserve"> over het al dan niet toekennen van het mandaat.</w:t>
      </w:r>
    </w:p>
    <w:p w14:paraId="78C536F6" w14:textId="39077D1B" w:rsidR="00162905" w:rsidRPr="00162905" w:rsidRDefault="00162905" w:rsidP="00162905">
      <w:pPr>
        <w:spacing w:after="120" w:line="276" w:lineRule="auto"/>
        <w:rPr>
          <w:rFonts w:ascii="Calibri" w:hAnsi="Calibri"/>
          <w:lang w:val="nl-BE"/>
        </w:rPr>
      </w:pPr>
      <w:r w:rsidRPr="00162905">
        <w:rPr>
          <w:rFonts w:ascii="Calibri" w:hAnsi="Calibri"/>
          <w:lang w:val="nl-BE"/>
        </w:rPr>
        <w:t>Het in</w:t>
      </w:r>
      <w:r>
        <w:rPr>
          <w:rFonts w:ascii="Calibri" w:hAnsi="Calibri"/>
          <w:lang w:val="nl-BE"/>
        </w:rPr>
        <w:t>schakelings</w:t>
      </w:r>
      <w:r w:rsidRPr="00162905">
        <w:rPr>
          <w:rFonts w:ascii="Calibri" w:hAnsi="Calibri"/>
          <w:lang w:val="nl-BE"/>
        </w:rPr>
        <w:t xml:space="preserve">programma is gespreid over vijf jaar en beschrijft de begeleiding die de werknemers uit de doelgroep zullen krijgen, evenals hun functieprofielen. Artikel 15 van de ordonnantie van 23 juli 2018 bepaalt dat de werknemers uit de doelgroep </w:t>
      </w:r>
      <w:r>
        <w:rPr>
          <w:rFonts w:ascii="Calibri" w:hAnsi="Calibri"/>
          <w:lang w:val="nl-BE"/>
        </w:rPr>
        <w:t xml:space="preserve">een </w:t>
      </w:r>
      <w:r w:rsidRPr="00162905">
        <w:rPr>
          <w:rFonts w:ascii="Calibri" w:hAnsi="Calibri"/>
          <w:lang w:val="nl-BE"/>
        </w:rPr>
        <w:t>specifieke professionele en sociale begeleiding moeten krijgen.</w:t>
      </w:r>
    </w:p>
    <w:p w14:paraId="5EF74E91" w14:textId="06A51F55" w:rsidR="00162905" w:rsidRPr="00162905" w:rsidRDefault="00162905" w:rsidP="00162905">
      <w:pPr>
        <w:spacing w:after="120" w:line="276" w:lineRule="auto"/>
        <w:rPr>
          <w:rFonts w:ascii="Calibri" w:hAnsi="Calibri"/>
          <w:lang w:val="nl-BE"/>
        </w:rPr>
      </w:pPr>
      <w:r w:rsidRPr="00162905">
        <w:rPr>
          <w:rFonts w:ascii="Calibri" w:hAnsi="Calibri"/>
          <w:lang w:val="nl-BE"/>
        </w:rPr>
        <w:lastRenderedPageBreak/>
        <w:t xml:space="preserve">Afhankelijk van het aantal </w:t>
      </w:r>
      <w:proofErr w:type="spellStart"/>
      <w:r w:rsidRPr="00162905">
        <w:rPr>
          <w:rFonts w:ascii="Calibri" w:hAnsi="Calibri"/>
          <w:lang w:val="nl-BE"/>
        </w:rPr>
        <w:t>doelgroepwerknemers</w:t>
      </w:r>
      <w:proofErr w:type="spellEnd"/>
      <w:r w:rsidRPr="00162905">
        <w:rPr>
          <w:rFonts w:ascii="Calibri" w:hAnsi="Calibri"/>
          <w:lang w:val="nl-BE"/>
        </w:rPr>
        <w:t xml:space="preserve"> dat in het in</w:t>
      </w:r>
      <w:r w:rsidR="006555C6">
        <w:rPr>
          <w:rFonts w:ascii="Calibri" w:hAnsi="Calibri"/>
          <w:lang w:val="nl-BE"/>
        </w:rPr>
        <w:t>schakelings</w:t>
      </w:r>
      <w:r w:rsidRPr="00162905">
        <w:rPr>
          <w:rFonts w:ascii="Calibri" w:hAnsi="Calibri"/>
          <w:lang w:val="nl-BE"/>
        </w:rPr>
        <w:t xml:space="preserve">programma is opgenomen, is voor elke sociale onderneming </w:t>
      </w:r>
      <w:r w:rsidR="006555C6">
        <w:rPr>
          <w:rFonts w:ascii="Calibri" w:hAnsi="Calibri"/>
          <w:lang w:val="nl-BE"/>
        </w:rPr>
        <w:t>gemandateerd voor inschakeling</w:t>
      </w:r>
      <w:r w:rsidRPr="00162905">
        <w:rPr>
          <w:rFonts w:ascii="Calibri" w:hAnsi="Calibri"/>
          <w:lang w:val="nl-BE"/>
        </w:rPr>
        <w:t xml:space="preserve"> een maximale financiering gepland voor de vijf jaar van het in</w:t>
      </w:r>
      <w:r w:rsidR="006555C6">
        <w:rPr>
          <w:rFonts w:ascii="Calibri" w:hAnsi="Calibri"/>
          <w:lang w:val="nl-BE"/>
        </w:rPr>
        <w:t>schakelings</w:t>
      </w:r>
      <w:r w:rsidRPr="00162905">
        <w:rPr>
          <w:rFonts w:ascii="Calibri" w:hAnsi="Calibri"/>
          <w:lang w:val="nl-BE"/>
        </w:rPr>
        <w:t xml:space="preserve">mandaat. Elk jaar moeten de sociale ondernemingen echter vóór 15 februari van het lopende jaar het bewijs leveren van de daadwerkelijke tewerkstelling van </w:t>
      </w:r>
      <w:r w:rsidR="006555C6">
        <w:rPr>
          <w:rFonts w:ascii="Calibri" w:hAnsi="Calibri"/>
          <w:lang w:val="nl-BE"/>
        </w:rPr>
        <w:t>het</w:t>
      </w:r>
      <w:r w:rsidRPr="00162905">
        <w:rPr>
          <w:rFonts w:ascii="Calibri" w:hAnsi="Calibri"/>
          <w:lang w:val="nl-BE"/>
        </w:rPr>
        <w:t xml:space="preserve"> doel</w:t>
      </w:r>
      <w:r w:rsidR="006555C6">
        <w:rPr>
          <w:rFonts w:ascii="Calibri" w:hAnsi="Calibri"/>
          <w:lang w:val="nl-BE"/>
        </w:rPr>
        <w:t>publiek</w:t>
      </w:r>
      <w:r w:rsidRPr="00162905">
        <w:rPr>
          <w:rFonts w:ascii="Calibri" w:hAnsi="Calibri"/>
          <w:lang w:val="nl-BE"/>
        </w:rPr>
        <w:t xml:space="preserve">. </w:t>
      </w:r>
      <w:r w:rsidR="006555C6">
        <w:rPr>
          <w:rFonts w:ascii="Calibri" w:hAnsi="Calibri"/>
          <w:lang w:val="nl-BE"/>
        </w:rPr>
        <w:t>Het is o</w:t>
      </w:r>
      <w:r w:rsidRPr="00162905">
        <w:rPr>
          <w:rFonts w:ascii="Calibri" w:hAnsi="Calibri"/>
          <w:lang w:val="nl-BE"/>
        </w:rPr>
        <w:t xml:space="preserve">p basis van deze informatie </w:t>
      </w:r>
      <w:r w:rsidR="006555C6">
        <w:rPr>
          <w:rFonts w:ascii="Calibri" w:hAnsi="Calibri"/>
          <w:lang w:val="nl-BE"/>
        </w:rPr>
        <w:t>dat</w:t>
      </w:r>
      <w:r w:rsidRPr="00162905">
        <w:rPr>
          <w:rFonts w:ascii="Calibri" w:hAnsi="Calibri"/>
          <w:lang w:val="nl-BE"/>
        </w:rPr>
        <w:t xml:space="preserve"> hun jaarlijkse compensatie </w:t>
      </w:r>
      <w:r w:rsidR="006555C6">
        <w:rPr>
          <w:rFonts w:ascii="Calibri" w:hAnsi="Calibri"/>
          <w:lang w:val="nl-BE"/>
        </w:rPr>
        <w:t xml:space="preserve">wordt </w:t>
      </w:r>
      <w:r w:rsidRPr="00162905">
        <w:rPr>
          <w:rFonts w:ascii="Calibri" w:hAnsi="Calibri"/>
          <w:lang w:val="nl-BE"/>
        </w:rPr>
        <w:t>berekend</w:t>
      </w:r>
      <w:r w:rsidR="006555C6">
        <w:rPr>
          <w:rFonts w:ascii="Calibri" w:hAnsi="Calibri"/>
          <w:lang w:val="nl-BE"/>
        </w:rPr>
        <w:t>. Deze mag</w:t>
      </w:r>
      <w:r w:rsidRPr="00162905">
        <w:rPr>
          <w:rFonts w:ascii="Calibri" w:hAnsi="Calibri"/>
          <w:lang w:val="nl-BE"/>
        </w:rPr>
        <w:t xml:space="preserve"> niet hoger </w:t>
      </w:r>
      <w:r w:rsidR="006555C6">
        <w:rPr>
          <w:rFonts w:ascii="Calibri" w:hAnsi="Calibri"/>
          <w:lang w:val="nl-BE"/>
        </w:rPr>
        <w:t>z</w:t>
      </w:r>
      <w:r w:rsidRPr="00162905">
        <w:rPr>
          <w:rFonts w:ascii="Calibri" w:hAnsi="Calibri"/>
          <w:lang w:val="nl-BE"/>
        </w:rPr>
        <w:t>ijn dan voorzien in het in</w:t>
      </w:r>
      <w:r w:rsidR="006555C6">
        <w:rPr>
          <w:rFonts w:ascii="Calibri" w:hAnsi="Calibri"/>
          <w:lang w:val="nl-BE"/>
        </w:rPr>
        <w:t>schakelings</w:t>
      </w:r>
      <w:r w:rsidRPr="00162905">
        <w:rPr>
          <w:rFonts w:ascii="Calibri" w:hAnsi="Calibri"/>
          <w:lang w:val="nl-BE"/>
        </w:rPr>
        <w:t>programma.</w:t>
      </w:r>
    </w:p>
    <w:p w14:paraId="508DF41B" w14:textId="4C29447B" w:rsidR="00162905" w:rsidRPr="00162905" w:rsidRDefault="00162905" w:rsidP="00162905">
      <w:pPr>
        <w:spacing w:after="120" w:line="276" w:lineRule="auto"/>
        <w:rPr>
          <w:rFonts w:ascii="Calibri" w:hAnsi="Calibri"/>
          <w:lang w:val="nl-BE"/>
        </w:rPr>
      </w:pPr>
      <w:r w:rsidRPr="00162905">
        <w:rPr>
          <w:rFonts w:ascii="Calibri" w:hAnsi="Calibri"/>
          <w:lang w:val="nl-BE"/>
        </w:rPr>
        <w:t xml:space="preserve">In jaar N + 1 wordt de </w:t>
      </w:r>
      <w:r w:rsidR="006555C6">
        <w:rPr>
          <w:rFonts w:ascii="Calibri" w:hAnsi="Calibri"/>
          <w:lang w:val="nl-BE"/>
        </w:rPr>
        <w:t>effectiev</w:t>
      </w:r>
      <w:r w:rsidRPr="00162905">
        <w:rPr>
          <w:rFonts w:ascii="Calibri" w:hAnsi="Calibri"/>
          <w:lang w:val="nl-BE"/>
        </w:rPr>
        <w:t xml:space="preserve">e aanwezigheid van </w:t>
      </w:r>
      <w:r w:rsidR="006555C6">
        <w:rPr>
          <w:rFonts w:ascii="Calibri" w:hAnsi="Calibri"/>
          <w:lang w:val="nl-BE"/>
        </w:rPr>
        <w:t>het</w:t>
      </w:r>
      <w:r w:rsidRPr="00162905">
        <w:rPr>
          <w:rFonts w:ascii="Calibri" w:hAnsi="Calibri"/>
          <w:lang w:val="nl-BE"/>
        </w:rPr>
        <w:t xml:space="preserve"> doel</w:t>
      </w:r>
      <w:r w:rsidR="006555C6">
        <w:rPr>
          <w:rFonts w:ascii="Calibri" w:hAnsi="Calibri"/>
          <w:lang w:val="nl-BE"/>
        </w:rPr>
        <w:t>publiek</w:t>
      </w:r>
      <w:r w:rsidRPr="00162905">
        <w:rPr>
          <w:rFonts w:ascii="Calibri" w:hAnsi="Calibri"/>
          <w:lang w:val="nl-BE"/>
        </w:rPr>
        <w:t xml:space="preserve"> gecontroleerd. </w:t>
      </w:r>
      <w:r w:rsidR="006555C6">
        <w:rPr>
          <w:rFonts w:ascii="Calibri" w:hAnsi="Calibri"/>
          <w:lang w:val="nl-BE"/>
        </w:rPr>
        <w:t>Indien</w:t>
      </w:r>
      <w:r w:rsidRPr="00162905">
        <w:rPr>
          <w:rFonts w:ascii="Calibri" w:hAnsi="Calibri"/>
          <w:lang w:val="nl-BE"/>
        </w:rPr>
        <w:t xml:space="preserve"> dit </w:t>
      </w:r>
      <w:r w:rsidR="006555C6">
        <w:rPr>
          <w:rFonts w:ascii="Calibri" w:hAnsi="Calibri"/>
          <w:lang w:val="nl-BE"/>
        </w:rPr>
        <w:t xml:space="preserve">aantal </w:t>
      </w:r>
      <w:r w:rsidRPr="00162905">
        <w:rPr>
          <w:rFonts w:ascii="Calibri" w:hAnsi="Calibri"/>
          <w:lang w:val="nl-BE"/>
        </w:rPr>
        <w:t xml:space="preserve">lager is dan het aantal dat voor 15 februari van </w:t>
      </w:r>
      <w:r w:rsidR="006555C6">
        <w:rPr>
          <w:rFonts w:ascii="Calibri" w:hAnsi="Calibri"/>
          <w:lang w:val="nl-BE"/>
        </w:rPr>
        <w:t xml:space="preserve">het </w:t>
      </w:r>
      <w:r w:rsidRPr="00162905">
        <w:rPr>
          <w:rFonts w:ascii="Calibri" w:hAnsi="Calibri"/>
          <w:lang w:val="nl-BE"/>
        </w:rPr>
        <w:t xml:space="preserve">jaar N werd opgegeven, wordt de compensatie </w:t>
      </w:r>
      <w:r w:rsidR="0053172C">
        <w:rPr>
          <w:rFonts w:ascii="Calibri" w:hAnsi="Calibri"/>
          <w:lang w:val="nl-BE"/>
        </w:rPr>
        <w:t xml:space="preserve">op </w:t>
      </w:r>
      <w:r w:rsidRPr="00162905">
        <w:rPr>
          <w:rFonts w:ascii="Calibri" w:hAnsi="Calibri"/>
          <w:lang w:val="nl-BE"/>
        </w:rPr>
        <w:t>evenredig</w:t>
      </w:r>
      <w:r w:rsidR="0053172C">
        <w:rPr>
          <w:rFonts w:ascii="Calibri" w:hAnsi="Calibri"/>
          <w:lang w:val="nl-BE"/>
        </w:rPr>
        <w:t>e wijze</w:t>
      </w:r>
      <w:r w:rsidRPr="00162905">
        <w:rPr>
          <w:rFonts w:ascii="Calibri" w:hAnsi="Calibri"/>
          <w:lang w:val="nl-BE"/>
        </w:rPr>
        <w:t xml:space="preserve"> verminderd.</w:t>
      </w:r>
    </w:p>
    <w:p w14:paraId="46E28815" w14:textId="26C914C1" w:rsidR="00162905" w:rsidRPr="00162905" w:rsidRDefault="00162905" w:rsidP="00162905">
      <w:pPr>
        <w:spacing w:after="120" w:line="276" w:lineRule="auto"/>
        <w:rPr>
          <w:rFonts w:ascii="Calibri" w:hAnsi="Calibri"/>
          <w:lang w:val="nl-BE"/>
        </w:rPr>
      </w:pPr>
      <w:r w:rsidRPr="00162905">
        <w:rPr>
          <w:rFonts w:ascii="Calibri" w:hAnsi="Calibri"/>
          <w:lang w:val="nl-BE"/>
        </w:rPr>
        <w:t xml:space="preserve">Wat betreft het </w:t>
      </w:r>
      <w:proofErr w:type="spellStart"/>
      <w:r w:rsidR="0053172C">
        <w:rPr>
          <w:rFonts w:ascii="Calibri" w:hAnsi="Calibri"/>
          <w:lang w:val="nl-BE"/>
        </w:rPr>
        <w:t>toe</w:t>
      </w:r>
      <w:r w:rsidRPr="00162905">
        <w:rPr>
          <w:rFonts w:ascii="Calibri" w:hAnsi="Calibri"/>
          <w:lang w:val="nl-BE"/>
        </w:rPr>
        <w:t>leiden</w:t>
      </w:r>
      <w:proofErr w:type="spellEnd"/>
      <w:r w:rsidRPr="00162905">
        <w:rPr>
          <w:rFonts w:ascii="Calibri" w:hAnsi="Calibri"/>
          <w:lang w:val="nl-BE"/>
        </w:rPr>
        <w:t xml:space="preserve"> van </w:t>
      </w:r>
      <w:r w:rsidR="006555C6">
        <w:rPr>
          <w:rFonts w:ascii="Calibri" w:hAnsi="Calibri"/>
          <w:lang w:val="nl-BE"/>
        </w:rPr>
        <w:t>het</w:t>
      </w:r>
      <w:r w:rsidRPr="00162905">
        <w:rPr>
          <w:rFonts w:ascii="Calibri" w:hAnsi="Calibri"/>
          <w:lang w:val="nl-BE"/>
        </w:rPr>
        <w:t xml:space="preserve"> doel</w:t>
      </w:r>
      <w:r w:rsidR="006555C6">
        <w:rPr>
          <w:rFonts w:ascii="Calibri" w:hAnsi="Calibri"/>
          <w:lang w:val="nl-BE"/>
        </w:rPr>
        <w:t>publiek</w:t>
      </w:r>
      <w:r w:rsidRPr="00162905">
        <w:rPr>
          <w:rFonts w:ascii="Calibri" w:hAnsi="Calibri"/>
          <w:lang w:val="nl-BE"/>
        </w:rPr>
        <w:t xml:space="preserve"> naar de sociale ondernemingen die gemandateerd zijn voor in</w:t>
      </w:r>
      <w:r w:rsidR="006555C6">
        <w:rPr>
          <w:rFonts w:ascii="Calibri" w:hAnsi="Calibri"/>
          <w:lang w:val="nl-BE"/>
        </w:rPr>
        <w:t>schakeling</w:t>
      </w:r>
      <w:r w:rsidRPr="00162905">
        <w:rPr>
          <w:rFonts w:ascii="Calibri" w:hAnsi="Calibri"/>
          <w:lang w:val="nl-BE"/>
        </w:rPr>
        <w:t xml:space="preserve">, deze </w:t>
      </w:r>
      <w:r w:rsidR="006555C6">
        <w:rPr>
          <w:rFonts w:ascii="Calibri" w:hAnsi="Calibri"/>
          <w:lang w:val="nl-BE"/>
        </w:rPr>
        <w:t xml:space="preserve">laatsten </w:t>
      </w:r>
      <w:r w:rsidR="002B72CD">
        <w:rPr>
          <w:rFonts w:ascii="Calibri" w:hAnsi="Calibri"/>
          <w:lang w:val="nl-BE"/>
        </w:rPr>
        <w:t>zij</w:t>
      </w:r>
      <w:r w:rsidRPr="00162905">
        <w:rPr>
          <w:rFonts w:ascii="Calibri" w:hAnsi="Calibri"/>
          <w:lang w:val="nl-BE"/>
        </w:rPr>
        <w:t xml:space="preserve">n niet </w:t>
      </w:r>
      <w:r w:rsidR="002B72CD">
        <w:rPr>
          <w:rFonts w:ascii="Calibri" w:hAnsi="Calibri"/>
          <w:lang w:val="nl-BE"/>
        </w:rPr>
        <w:t>gemachtigd</w:t>
      </w:r>
      <w:r w:rsidRPr="00162905">
        <w:rPr>
          <w:rFonts w:ascii="Calibri" w:hAnsi="Calibri"/>
          <w:lang w:val="nl-BE"/>
        </w:rPr>
        <w:t xml:space="preserve"> om dit te doen en zijn </w:t>
      </w:r>
      <w:r w:rsidR="006555C6">
        <w:rPr>
          <w:rFonts w:ascii="Calibri" w:hAnsi="Calibri"/>
          <w:lang w:val="nl-BE"/>
        </w:rPr>
        <w:t xml:space="preserve">hiervoor </w:t>
      </w:r>
      <w:r w:rsidRPr="00162905">
        <w:rPr>
          <w:rFonts w:ascii="Calibri" w:hAnsi="Calibri"/>
          <w:lang w:val="nl-BE"/>
        </w:rPr>
        <w:t>afhankelijk van de overheidsinstanties die voor deze werkgelegenheidssteun</w:t>
      </w:r>
      <w:r w:rsidR="006555C6" w:rsidRPr="006555C6">
        <w:rPr>
          <w:rFonts w:ascii="Calibri" w:hAnsi="Calibri"/>
          <w:lang w:val="nl-BE"/>
        </w:rPr>
        <w:t xml:space="preserve"> </w:t>
      </w:r>
      <w:r w:rsidR="006555C6" w:rsidRPr="00162905">
        <w:rPr>
          <w:rFonts w:ascii="Calibri" w:hAnsi="Calibri"/>
          <w:lang w:val="nl-BE"/>
        </w:rPr>
        <w:t>verantwoordelijk zijn</w:t>
      </w:r>
      <w:r w:rsidRPr="00162905">
        <w:rPr>
          <w:rFonts w:ascii="Calibri" w:hAnsi="Calibri"/>
          <w:lang w:val="nl-BE"/>
        </w:rPr>
        <w:t xml:space="preserve">. Dit is met name het geval voor </w:t>
      </w:r>
      <w:r w:rsidR="006555C6">
        <w:rPr>
          <w:rFonts w:ascii="Calibri" w:hAnsi="Calibri"/>
          <w:lang w:val="nl-BE"/>
        </w:rPr>
        <w:t>het</w:t>
      </w:r>
      <w:r w:rsidRPr="00162905">
        <w:rPr>
          <w:rFonts w:ascii="Calibri" w:hAnsi="Calibri"/>
          <w:lang w:val="nl-BE"/>
        </w:rPr>
        <w:t xml:space="preserve"> doel</w:t>
      </w:r>
      <w:r w:rsidR="006555C6">
        <w:rPr>
          <w:rFonts w:ascii="Calibri" w:hAnsi="Calibri"/>
          <w:lang w:val="nl-BE"/>
        </w:rPr>
        <w:t>publiek</w:t>
      </w:r>
      <w:r w:rsidRPr="00162905">
        <w:rPr>
          <w:rFonts w:ascii="Calibri" w:hAnsi="Calibri"/>
          <w:lang w:val="nl-BE"/>
        </w:rPr>
        <w:t xml:space="preserve"> met een artikel 60-statuut, inclusief </w:t>
      </w:r>
      <w:r w:rsidR="006555C6">
        <w:rPr>
          <w:rFonts w:ascii="Calibri" w:hAnsi="Calibri"/>
          <w:lang w:val="nl-BE"/>
        </w:rPr>
        <w:t>voor de</w:t>
      </w:r>
      <w:r w:rsidRPr="00162905">
        <w:rPr>
          <w:rFonts w:ascii="Calibri" w:hAnsi="Calibri"/>
          <w:lang w:val="nl-BE"/>
        </w:rPr>
        <w:t xml:space="preserve"> </w:t>
      </w:r>
      <w:r w:rsidR="002B72CD">
        <w:rPr>
          <w:rFonts w:ascii="Calibri" w:hAnsi="Calibri"/>
          <w:lang w:val="nl-BE"/>
        </w:rPr>
        <w:t>“</w:t>
      </w:r>
      <w:r w:rsidR="006555C6">
        <w:rPr>
          <w:rFonts w:ascii="Calibri" w:hAnsi="Calibri"/>
          <w:lang w:val="nl-BE"/>
        </w:rPr>
        <w:t xml:space="preserve">verhoogde </w:t>
      </w:r>
      <w:r w:rsidRPr="00162905">
        <w:rPr>
          <w:rFonts w:ascii="Calibri" w:hAnsi="Calibri"/>
          <w:lang w:val="nl-BE"/>
        </w:rPr>
        <w:t>artikel</w:t>
      </w:r>
      <w:r w:rsidR="006555C6">
        <w:rPr>
          <w:rFonts w:ascii="Calibri" w:hAnsi="Calibri"/>
          <w:lang w:val="nl-BE"/>
        </w:rPr>
        <w:t>en</w:t>
      </w:r>
      <w:r w:rsidRPr="00162905">
        <w:rPr>
          <w:rFonts w:ascii="Calibri" w:hAnsi="Calibri"/>
          <w:lang w:val="nl-BE"/>
        </w:rPr>
        <w:t xml:space="preserve"> 60 sociale economie".</w:t>
      </w:r>
    </w:p>
    <w:p w14:paraId="38105FAD" w14:textId="28462372" w:rsidR="00155584" w:rsidRPr="00220C83" w:rsidRDefault="00155584" w:rsidP="00155584">
      <w:pPr>
        <w:pStyle w:val="Kop1"/>
        <w:rPr>
          <w:lang w:val="fr-BE"/>
        </w:rPr>
      </w:pPr>
      <w:proofErr w:type="spellStart"/>
      <w:r w:rsidRPr="00220C83">
        <w:rPr>
          <w:lang w:val="fr-BE"/>
        </w:rPr>
        <w:t>A</w:t>
      </w:r>
      <w:r w:rsidR="00892758">
        <w:rPr>
          <w:lang w:val="fr-BE"/>
        </w:rPr>
        <w:t>d</w:t>
      </w:r>
      <w:r w:rsidRPr="00220C83">
        <w:rPr>
          <w:lang w:val="fr-BE"/>
        </w:rPr>
        <w:t>vi</w:t>
      </w:r>
      <w:r w:rsidR="00892758">
        <w:rPr>
          <w:lang w:val="fr-BE"/>
        </w:rPr>
        <w:t>e</w:t>
      </w:r>
      <w:r w:rsidRPr="00220C83">
        <w:rPr>
          <w:lang w:val="fr-BE"/>
        </w:rPr>
        <w:t>s</w:t>
      </w:r>
      <w:proofErr w:type="spellEnd"/>
    </w:p>
    <w:p w14:paraId="24E860F1" w14:textId="27507174" w:rsidR="000A1753" w:rsidRPr="00BC081E" w:rsidRDefault="00892758" w:rsidP="00BC081E">
      <w:pPr>
        <w:pStyle w:val="Kop2"/>
      </w:pPr>
      <w:proofErr w:type="spellStart"/>
      <w:r>
        <w:t>Algemene</w:t>
      </w:r>
      <w:proofErr w:type="spellEnd"/>
      <w:r>
        <w:t xml:space="preserve"> </w:t>
      </w:r>
      <w:proofErr w:type="spellStart"/>
      <w:r>
        <w:t>beschouwingen</w:t>
      </w:r>
      <w:proofErr w:type="spellEnd"/>
    </w:p>
    <w:p w14:paraId="0D45CC40" w14:textId="059DDACC" w:rsidR="006555C6" w:rsidRPr="006555C6" w:rsidRDefault="006555C6" w:rsidP="00295FA7">
      <w:pPr>
        <w:spacing w:after="120" w:line="276" w:lineRule="auto"/>
        <w:rPr>
          <w:rFonts w:eastAsia="Times New Roman" w:cstheme="minorHAnsi"/>
          <w:lang w:val="nl-BE"/>
        </w:rPr>
      </w:pPr>
      <w:r w:rsidRPr="006555C6">
        <w:rPr>
          <w:rFonts w:eastAsia="Times New Roman" w:cstheme="minorHAnsi"/>
          <w:lang w:val="nl-BE"/>
        </w:rPr>
        <w:t xml:space="preserve">Na </w:t>
      </w:r>
      <w:r>
        <w:rPr>
          <w:rFonts w:eastAsia="Times New Roman" w:cstheme="minorHAnsi"/>
          <w:lang w:val="nl-BE"/>
        </w:rPr>
        <w:t>een</w:t>
      </w:r>
      <w:r w:rsidRPr="006555C6">
        <w:rPr>
          <w:rFonts w:eastAsia="Times New Roman" w:cstheme="minorHAnsi"/>
          <w:lang w:val="nl-BE"/>
        </w:rPr>
        <w:t xml:space="preserve"> toepassing </w:t>
      </w:r>
      <w:r>
        <w:rPr>
          <w:rFonts w:eastAsia="Times New Roman" w:cstheme="minorHAnsi"/>
          <w:lang w:val="nl-BE"/>
        </w:rPr>
        <w:t xml:space="preserve">van vier jaar </w:t>
      </w:r>
      <w:r w:rsidRPr="006555C6">
        <w:rPr>
          <w:rFonts w:eastAsia="Times New Roman" w:cstheme="minorHAnsi"/>
          <w:lang w:val="nl-BE"/>
        </w:rPr>
        <w:t xml:space="preserve">stelt de </w:t>
      </w:r>
      <w:r w:rsidRPr="006555C6">
        <w:rPr>
          <w:rFonts w:eastAsia="Times New Roman" w:cstheme="minorHAnsi"/>
          <w:b/>
          <w:bCs/>
          <w:lang w:val="nl-BE"/>
        </w:rPr>
        <w:t>ARSO</w:t>
      </w:r>
      <w:r w:rsidRPr="006555C6">
        <w:rPr>
          <w:rFonts w:eastAsia="Times New Roman" w:cstheme="minorHAnsi"/>
          <w:lang w:val="nl-BE"/>
        </w:rPr>
        <w:t xml:space="preserve"> talrijke moeilijkheden vast in verband met de toepassing van het besluit van 16 mei 2019 betreffende de mandatering en de </w:t>
      </w:r>
      <w:r>
        <w:rPr>
          <w:rFonts w:eastAsia="Times New Roman" w:cstheme="minorHAnsi"/>
          <w:lang w:val="nl-BE"/>
        </w:rPr>
        <w:t>compensatie</w:t>
      </w:r>
      <w:r w:rsidRPr="006555C6">
        <w:rPr>
          <w:rFonts w:eastAsia="Times New Roman" w:cstheme="minorHAnsi"/>
          <w:lang w:val="nl-BE"/>
        </w:rPr>
        <w:t xml:space="preserve"> van de</w:t>
      </w:r>
      <w:r>
        <w:rPr>
          <w:rFonts w:eastAsia="Times New Roman" w:cstheme="minorHAnsi"/>
          <w:lang w:val="nl-BE"/>
        </w:rPr>
        <w:t xml:space="preserve"> sociale</w:t>
      </w:r>
      <w:r w:rsidRPr="006555C6">
        <w:rPr>
          <w:rFonts w:eastAsia="Times New Roman" w:cstheme="minorHAnsi"/>
          <w:lang w:val="nl-BE"/>
        </w:rPr>
        <w:t xml:space="preserve"> </w:t>
      </w:r>
      <w:r>
        <w:rPr>
          <w:rFonts w:eastAsia="Times New Roman" w:cstheme="minorHAnsi"/>
          <w:lang w:val="nl-BE"/>
        </w:rPr>
        <w:t>inschakelings</w:t>
      </w:r>
      <w:r w:rsidRPr="006555C6">
        <w:rPr>
          <w:rFonts w:eastAsia="Times New Roman" w:cstheme="minorHAnsi"/>
          <w:lang w:val="nl-BE"/>
        </w:rPr>
        <w:t xml:space="preserve">ondernemingen. De </w:t>
      </w:r>
      <w:r>
        <w:rPr>
          <w:rFonts w:eastAsia="Times New Roman" w:cstheme="minorHAnsi"/>
          <w:b/>
          <w:bCs/>
          <w:lang w:val="nl-BE"/>
        </w:rPr>
        <w:t>ARSO</w:t>
      </w:r>
      <w:r w:rsidRPr="006555C6">
        <w:rPr>
          <w:rFonts w:eastAsia="Times New Roman" w:cstheme="minorHAnsi"/>
          <w:lang w:val="nl-BE"/>
        </w:rPr>
        <w:t xml:space="preserve"> stelt vast dat het systeem</w:t>
      </w:r>
      <w:r>
        <w:rPr>
          <w:rFonts w:eastAsia="Times New Roman" w:cstheme="minorHAnsi"/>
          <w:lang w:val="nl-BE"/>
        </w:rPr>
        <w:t>,</w:t>
      </w:r>
      <w:r w:rsidRPr="006555C6">
        <w:rPr>
          <w:rFonts w:eastAsia="Times New Roman" w:cstheme="minorHAnsi"/>
          <w:lang w:val="nl-BE"/>
        </w:rPr>
        <w:t xml:space="preserve"> dat door dit </w:t>
      </w:r>
      <w:r>
        <w:rPr>
          <w:rFonts w:eastAsia="Times New Roman" w:cstheme="minorHAnsi"/>
          <w:lang w:val="nl-BE"/>
        </w:rPr>
        <w:t>besluit is</w:t>
      </w:r>
      <w:r w:rsidRPr="006555C6">
        <w:rPr>
          <w:rFonts w:eastAsia="Times New Roman" w:cstheme="minorHAnsi"/>
          <w:lang w:val="nl-BE"/>
        </w:rPr>
        <w:t xml:space="preserve"> ingevoerd, snel moet worden verbeterd en stelt in dit initiatiefadvies een reeks praktische wijzigingen voor die </w:t>
      </w:r>
      <w:r w:rsidR="0053172C">
        <w:rPr>
          <w:rFonts w:eastAsia="Times New Roman" w:cstheme="minorHAnsi"/>
          <w:lang w:val="nl-BE"/>
        </w:rPr>
        <w:t xml:space="preserve">nog </w:t>
      </w:r>
      <w:r w:rsidRPr="006555C6">
        <w:rPr>
          <w:rFonts w:eastAsia="Times New Roman" w:cstheme="minorHAnsi"/>
          <w:lang w:val="nl-BE"/>
        </w:rPr>
        <w:t>tijdens de huidige legislatuur kunnen worden doorgevoerd.</w:t>
      </w:r>
    </w:p>
    <w:p w14:paraId="371A61AE" w14:textId="36279247" w:rsidR="003570F4" w:rsidRDefault="00892758" w:rsidP="00BC081E">
      <w:pPr>
        <w:pStyle w:val="Kop2"/>
      </w:pPr>
      <w:proofErr w:type="spellStart"/>
      <w:r>
        <w:t>Bijzondere</w:t>
      </w:r>
      <w:proofErr w:type="spellEnd"/>
      <w:r>
        <w:t xml:space="preserve"> </w:t>
      </w:r>
      <w:proofErr w:type="spellStart"/>
      <w:r>
        <w:t>beschouwingen</w:t>
      </w:r>
      <w:proofErr w:type="spellEnd"/>
    </w:p>
    <w:p w14:paraId="0519DDA2" w14:textId="077F7B5A" w:rsidR="006A23B1" w:rsidRDefault="006A23B1" w:rsidP="009729D6">
      <w:pPr>
        <w:pStyle w:val="Kop3"/>
      </w:pPr>
      <w:r>
        <w:t xml:space="preserve"> </w:t>
      </w:r>
      <w:proofErr w:type="spellStart"/>
      <w:r>
        <w:t>Art</w:t>
      </w:r>
      <w:r w:rsidR="00ED0330">
        <w:t>i</w:t>
      </w:r>
      <w:r w:rsidR="00107C39">
        <w:t>kel</w:t>
      </w:r>
      <w:proofErr w:type="spellEnd"/>
      <w:r>
        <w:t xml:space="preserve"> 1</w:t>
      </w:r>
      <w:r w:rsidR="00ED0330">
        <w:t>.</w:t>
      </w:r>
      <w:r>
        <w:t xml:space="preserve"> 6°</w:t>
      </w:r>
      <w:r w:rsidR="009572A6">
        <w:t xml:space="preserve"> </w:t>
      </w:r>
      <w:r w:rsidR="00ED0330">
        <w:t xml:space="preserve">- </w:t>
      </w:r>
      <w:proofErr w:type="spellStart"/>
      <w:r w:rsidR="00ED0330">
        <w:t>D</w:t>
      </w:r>
      <w:r w:rsidR="00107C39">
        <w:t>e</w:t>
      </w:r>
      <w:r w:rsidR="00ED0330">
        <w:t>finiti</w:t>
      </w:r>
      <w:r w:rsidR="00107C39">
        <w:t>e</w:t>
      </w:r>
      <w:proofErr w:type="spellEnd"/>
      <w:r w:rsidR="00107C39">
        <w:t xml:space="preserve"> van de </w:t>
      </w:r>
      <w:proofErr w:type="spellStart"/>
      <w:r w:rsidR="00107C39">
        <w:t>begeleider</w:t>
      </w:r>
      <w:proofErr w:type="spellEnd"/>
    </w:p>
    <w:p w14:paraId="393AABCE" w14:textId="6D853F3E" w:rsidR="006555C6" w:rsidRPr="006555C6" w:rsidRDefault="006555C6" w:rsidP="006555C6">
      <w:pPr>
        <w:spacing w:line="276" w:lineRule="auto"/>
        <w:rPr>
          <w:lang w:val="nl-BE"/>
        </w:rPr>
      </w:pPr>
      <w:r>
        <w:rPr>
          <w:lang w:val="nl-BE"/>
        </w:rPr>
        <w:t>Het besluit</w:t>
      </w:r>
      <w:r w:rsidRPr="006555C6">
        <w:rPr>
          <w:lang w:val="nl-BE"/>
        </w:rPr>
        <w:t xml:space="preserve"> van 16 mei 2019 definieert </w:t>
      </w:r>
      <w:r>
        <w:rPr>
          <w:lang w:val="nl-BE"/>
        </w:rPr>
        <w:t>de begeleiding</w:t>
      </w:r>
      <w:r w:rsidRPr="006555C6">
        <w:rPr>
          <w:lang w:val="nl-BE"/>
        </w:rPr>
        <w:t xml:space="preserve"> uitsluitend op basis van </w:t>
      </w:r>
      <w:r>
        <w:rPr>
          <w:lang w:val="nl-BE"/>
        </w:rPr>
        <w:t xml:space="preserve">de </w:t>
      </w:r>
      <w:r w:rsidRPr="006555C6">
        <w:rPr>
          <w:lang w:val="nl-BE"/>
        </w:rPr>
        <w:t xml:space="preserve">functies die rechtstreeks in contact staan met </w:t>
      </w:r>
      <w:r>
        <w:rPr>
          <w:lang w:val="nl-BE"/>
        </w:rPr>
        <w:t>het</w:t>
      </w:r>
      <w:r w:rsidRPr="006555C6">
        <w:rPr>
          <w:lang w:val="nl-BE"/>
        </w:rPr>
        <w:t xml:space="preserve"> doel</w:t>
      </w:r>
      <w:r>
        <w:rPr>
          <w:lang w:val="nl-BE"/>
        </w:rPr>
        <w:t>publiek</w:t>
      </w:r>
      <w:r w:rsidRPr="006555C6">
        <w:rPr>
          <w:lang w:val="nl-BE"/>
        </w:rPr>
        <w:t>. De uitvoering van het project v</w:t>
      </w:r>
      <w:r>
        <w:rPr>
          <w:lang w:val="nl-BE"/>
        </w:rPr>
        <w:t>an mandatering voor inschakeling</w:t>
      </w:r>
      <w:r w:rsidR="00FA1A15">
        <w:rPr>
          <w:lang w:val="nl-BE"/>
        </w:rPr>
        <w:t xml:space="preserve"> </w:t>
      </w:r>
      <w:r w:rsidRPr="006555C6">
        <w:rPr>
          <w:lang w:val="nl-BE"/>
        </w:rPr>
        <w:t>vereist e</w:t>
      </w:r>
      <w:r w:rsidR="00FA1A15">
        <w:rPr>
          <w:lang w:val="nl-BE"/>
        </w:rPr>
        <w:t>venwel</w:t>
      </w:r>
      <w:r w:rsidRPr="006555C6">
        <w:rPr>
          <w:lang w:val="nl-BE"/>
        </w:rPr>
        <w:t xml:space="preserve"> een </w:t>
      </w:r>
      <w:r w:rsidRPr="00FA1A15">
        <w:rPr>
          <w:b/>
          <w:bCs/>
          <w:lang w:val="nl-BE"/>
        </w:rPr>
        <w:t>specifieke administratieve en financiële opvolging</w:t>
      </w:r>
      <w:r w:rsidRPr="006555C6">
        <w:rPr>
          <w:lang w:val="nl-BE"/>
        </w:rPr>
        <w:t xml:space="preserve"> (boekhouding, communicatie, enz.) die </w:t>
      </w:r>
      <w:r w:rsidR="00FA1A15">
        <w:rPr>
          <w:lang w:val="nl-BE"/>
        </w:rPr>
        <w:t>vandaag</w:t>
      </w:r>
      <w:r w:rsidRPr="006555C6">
        <w:rPr>
          <w:lang w:val="nl-BE"/>
        </w:rPr>
        <w:t xml:space="preserve"> op het terrein wordt uitgevoerd, maar zonder erkenning </w:t>
      </w:r>
      <w:r w:rsidR="00FA1A15">
        <w:rPr>
          <w:lang w:val="nl-BE"/>
        </w:rPr>
        <w:t>noch</w:t>
      </w:r>
      <w:r w:rsidRPr="006555C6">
        <w:rPr>
          <w:lang w:val="nl-BE"/>
        </w:rPr>
        <w:t xml:space="preserve"> financiering. Daarom beveelt de </w:t>
      </w:r>
      <w:r w:rsidR="00FA1A15">
        <w:rPr>
          <w:b/>
          <w:bCs/>
          <w:lang w:val="nl-BE"/>
        </w:rPr>
        <w:t>ARSO</w:t>
      </w:r>
      <w:r w:rsidRPr="006555C6">
        <w:rPr>
          <w:lang w:val="nl-BE"/>
        </w:rPr>
        <w:t xml:space="preserve"> aan om d</w:t>
      </w:r>
      <w:r w:rsidR="00FA1A15">
        <w:rPr>
          <w:lang w:val="nl-BE"/>
        </w:rPr>
        <w:t>eze</w:t>
      </w:r>
      <w:r w:rsidRPr="006555C6">
        <w:rPr>
          <w:lang w:val="nl-BE"/>
        </w:rPr>
        <w:t xml:space="preserve"> essentiële werk</w:t>
      </w:r>
      <w:r w:rsidR="00FA1A15">
        <w:rPr>
          <w:lang w:val="nl-BE"/>
        </w:rPr>
        <w:t>zaamheden</w:t>
      </w:r>
      <w:r w:rsidRPr="006555C6">
        <w:rPr>
          <w:lang w:val="nl-BE"/>
        </w:rPr>
        <w:t xml:space="preserve"> te erkennen door aan het einde van de definitie van de </w:t>
      </w:r>
      <w:r w:rsidR="00FA1A15">
        <w:rPr>
          <w:lang w:val="nl-BE"/>
        </w:rPr>
        <w:t>begeleider</w:t>
      </w:r>
      <w:r w:rsidRPr="006555C6">
        <w:rPr>
          <w:lang w:val="nl-BE"/>
        </w:rPr>
        <w:t xml:space="preserve"> "</w:t>
      </w:r>
      <w:r w:rsidR="00FA1A15">
        <w:rPr>
          <w:lang w:val="nl-BE"/>
        </w:rPr>
        <w:t>de begeleiding van het voor inschakeling gemandateerd project</w:t>
      </w:r>
      <w:r w:rsidRPr="006555C6">
        <w:rPr>
          <w:lang w:val="nl-BE"/>
        </w:rPr>
        <w:t xml:space="preserve">" toe te voegen. </w:t>
      </w:r>
    </w:p>
    <w:p w14:paraId="50433D3A" w14:textId="493A5F6D" w:rsidR="00864D64" w:rsidRDefault="006555C6" w:rsidP="007257DA">
      <w:pPr>
        <w:spacing w:line="276" w:lineRule="auto"/>
        <w:rPr>
          <w:lang w:val="nl-BE"/>
        </w:rPr>
      </w:pPr>
      <w:r w:rsidRPr="006555C6">
        <w:rPr>
          <w:lang w:val="nl-BE"/>
        </w:rPr>
        <w:t xml:space="preserve">Daarnaast vraagt de </w:t>
      </w:r>
      <w:r w:rsidR="00FA1A15">
        <w:rPr>
          <w:b/>
          <w:bCs/>
          <w:lang w:val="nl-BE"/>
        </w:rPr>
        <w:t>ARSO</w:t>
      </w:r>
      <w:r w:rsidRPr="006555C6">
        <w:rPr>
          <w:lang w:val="nl-BE"/>
        </w:rPr>
        <w:t xml:space="preserve"> om in hetzelfde artikel te verduidelijken wat op het terrein al wordt toegepast, namelijk dat "</w:t>
      </w:r>
      <w:r w:rsidRPr="00FA1A15">
        <w:rPr>
          <w:b/>
          <w:bCs/>
          <w:lang w:val="nl-BE"/>
        </w:rPr>
        <w:t>de begeleider niet te</w:t>
      </w:r>
      <w:r w:rsidR="00FA1A15">
        <w:rPr>
          <w:b/>
          <w:bCs/>
          <w:lang w:val="nl-BE"/>
        </w:rPr>
        <w:t xml:space="preserve">rzelfder </w:t>
      </w:r>
      <w:r w:rsidRPr="00FA1A15">
        <w:rPr>
          <w:b/>
          <w:bCs/>
          <w:lang w:val="nl-BE"/>
        </w:rPr>
        <w:t xml:space="preserve">tijd een </w:t>
      </w:r>
      <w:r w:rsidR="00FA1A15">
        <w:rPr>
          <w:b/>
          <w:bCs/>
          <w:lang w:val="nl-BE"/>
        </w:rPr>
        <w:t>werknem</w:t>
      </w:r>
      <w:r w:rsidRPr="00FA1A15">
        <w:rPr>
          <w:b/>
          <w:bCs/>
          <w:lang w:val="nl-BE"/>
        </w:rPr>
        <w:t>er van de doelgroep mag zijn</w:t>
      </w:r>
      <w:r w:rsidRPr="006555C6">
        <w:rPr>
          <w:lang w:val="nl-BE"/>
        </w:rPr>
        <w:t>".</w:t>
      </w:r>
    </w:p>
    <w:p w14:paraId="4AACCEE4" w14:textId="77777777" w:rsidR="00FA1A15" w:rsidRDefault="00FA1A15" w:rsidP="007257DA">
      <w:pPr>
        <w:spacing w:line="276" w:lineRule="auto"/>
        <w:rPr>
          <w:lang w:val="nl-BE"/>
        </w:rPr>
      </w:pPr>
    </w:p>
    <w:p w14:paraId="11E56DE2" w14:textId="77777777" w:rsidR="00FA1A15" w:rsidRDefault="00FA1A15" w:rsidP="007257DA">
      <w:pPr>
        <w:spacing w:line="276" w:lineRule="auto"/>
        <w:rPr>
          <w:lang w:val="nl-BE"/>
        </w:rPr>
      </w:pPr>
    </w:p>
    <w:p w14:paraId="01929B39" w14:textId="77777777" w:rsidR="00FA1A15" w:rsidRPr="00FA1A15" w:rsidRDefault="00FA1A15" w:rsidP="007257DA">
      <w:pPr>
        <w:spacing w:line="276" w:lineRule="auto"/>
        <w:rPr>
          <w:lang w:val="nl-BE"/>
        </w:rPr>
      </w:pPr>
    </w:p>
    <w:p w14:paraId="49B91EFD" w14:textId="0603C08D" w:rsidR="009572A6" w:rsidRPr="00D27245" w:rsidRDefault="00D27245" w:rsidP="00D27245">
      <w:pPr>
        <w:pStyle w:val="Kop3"/>
      </w:pPr>
      <w:r w:rsidRPr="006C1670">
        <w:rPr>
          <w:lang w:val="nl-BE"/>
        </w:rPr>
        <w:lastRenderedPageBreak/>
        <w:t xml:space="preserve"> </w:t>
      </w:r>
      <w:proofErr w:type="spellStart"/>
      <w:r w:rsidR="009572A6" w:rsidRPr="00D27245">
        <w:t>Art</w:t>
      </w:r>
      <w:r w:rsidR="00CD0F37">
        <w:t>i</w:t>
      </w:r>
      <w:r w:rsidR="00107C39">
        <w:t>kel</w:t>
      </w:r>
      <w:proofErr w:type="spellEnd"/>
      <w:r w:rsidR="009572A6" w:rsidRPr="00D27245">
        <w:t xml:space="preserve"> 2</w:t>
      </w:r>
      <w:r w:rsidR="00CD0F37">
        <w:t>.</w:t>
      </w:r>
      <w:r w:rsidR="009572A6" w:rsidRPr="00D27245">
        <w:t xml:space="preserve"> § 1</w:t>
      </w:r>
      <w:r w:rsidR="00CD0F37">
        <w:t xml:space="preserve"> -</w:t>
      </w:r>
      <w:r w:rsidR="009572A6" w:rsidRPr="00D27245">
        <w:t xml:space="preserve"> </w:t>
      </w:r>
      <w:proofErr w:type="spellStart"/>
      <w:r w:rsidR="00107C39">
        <w:t>Kandidatenoproep</w:t>
      </w:r>
      <w:proofErr w:type="spellEnd"/>
    </w:p>
    <w:p w14:paraId="02078E99" w14:textId="0D60CF01" w:rsidR="00FA1A15" w:rsidRPr="00FA1A15" w:rsidRDefault="00FA1A15" w:rsidP="00FA1A15">
      <w:pPr>
        <w:spacing w:line="276" w:lineRule="auto"/>
        <w:rPr>
          <w:lang w:val="nl-BE"/>
        </w:rPr>
      </w:pPr>
      <w:r w:rsidRPr="00FA1A15">
        <w:rPr>
          <w:lang w:val="nl-BE"/>
        </w:rPr>
        <w:t xml:space="preserve">De </w:t>
      </w:r>
      <w:r>
        <w:rPr>
          <w:lang w:val="nl-BE"/>
        </w:rPr>
        <w:t>kandidaten</w:t>
      </w:r>
      <w:r w:rsidRPr="00FA1A15">
        <w:rPr>
          <w:lang w:val="nl-BE"/>
        </w:rPr>
        <w:t xml:space="preserve">oproep </w:t>
      </w:r>
      <w:r>
        <w:rPr>
          <w:lang w:val="nl-BE"/>
        </w:rPr>
        <w:t>voor mandatering voor inschakeling</w:t>
      </w:r>
      <w:r w:rsidRPr="00FA1A15">
        <w:rPr>
          <w:lang w:val="nl-BE"/>
        </w:rPr>
        <w:t xml:space="preserve"> </w:t>
      </w:r>
      <w:r>
        <w:rPr>
          <w:lang w:val="nl-BE"/>
        </w:rPr>
        <w:t>zou</w:t>
      </w:r>
      <w:r w:rsidRPr="00FA1A15">
        <w:rPr>
          <w:lang w:val="nl-BE"/>
        </w:rPr>
        <w:t xml:space="preserve"> slechts één keer per jaar </w:t>
      </w:r>
      <w:r>
        <w:rPr>
          <w:lang w:val="nl-BE"/>
        </w:rPr>
        <w:t>mogen gebeuren</w:t>
      </w:r>
      <w:r w:rsidRPr="00FA1A15">
        <w:rPr>
          <w:lang w:val="nl-BE"/>
        </w:rPr>
        <w:t xml:space="preserve">, </w:t>
      </w:r>
      <w:r w:rsidRPr="00FA1A15">
        <w:rPr>
          <w:b/>
          <w:bCs/>
          <w:lang w:val="nl-BE"/>
        </w:rPr>
        <w:t>vóór 1 mei</w:t>
      </w:r>
      <w:r w:rsidRPr="00FA1A15">
        <w:rPr>
          <w:lang w:val="nl-BE"/>
        </w:rPr>
        <w:t xml:space="preserve"> en niet vóór 1 juni van het lopende jaar. Dit zou beter beantwoorden aan de vereisten van de </w:t>
      </w:r>
      <w:r>
        <w:rPr>
          <w:lang w:val="nl-BE"/>
        </w:rPr>
        <w:t xml:space="preserve">procedures inzake </w:t>
      </w:r>
      <w:r w:rsidRPr="00FA1A15">
        <w:rPr>
          <w:lang w:val="nl-BE"/>
        </w:rPr>
        <w:t>a</w:t>
      </w:r>
      <w:r>
        <w:rPr>
          <w:lang w:val="nl-BE"/>
        </w:rPr>
        <w:t>dvies</w:t>
      </w:r>
      <w:r w:rsidRPr="00FA1A15">
        <w:rPr>
          <w:lang w:val="nl-BE"/>
        </w:rPr>
        <w:t xml:space="preserve"> en mandaatherziening</w:t>
      </w:r>
      <w:r>
        <w:rPr>
          <w:lang w:val="nl-BE"/>
        </w:rPr>
        <w:t>en</w:t>
      </w:r>
      <w:r w:rsidRPr="00FA1A15">
        <w:rPr>
          <w:lang w:val="nl-BE"/>
        </w:rPr>
        <w:t>.</w:t>
      </w:r>
    </w:p>
    <w:p w14:paraId="27589871" w14:textId="52632C26" w:rsidR="00FA1A15" w:rsidRPr="006C1670" w:rsidRDefault="00FA1A15" w:rsidP="00FA1A15">
      <w:pPr>
        <w:spacing w:line="276" w:lineRule="auto"/>
        <w:rPr>
          <w:color w:val="FF0000"/>
          <w:lang w:val="nl-BE"/>
        </w:rPr>
      </w:pPr>
      <w:r w:rsidRPr="006C1670">
        <w:rPr>
          <w:color w:val="FF0000"/>
          <w:lang w:val="nl-BE"/>
        </w:rPr>
        <w:t xml:space="preserve">De </w:t>
      </w:r>
      <w:r w:rsidRPr="006C1670">
        <w:rPr>
          <w:b/>
          <w:bCs/>
          <w:color w:val="FF0000"/>
          <w:lang w:val="nl-BE"/>
        </w:rPr>
        <w:t xml:space="preserve">ARSO </w:t>
      </w:r>
      <w:r w:rsidRPr="006C1670">
        <w:rPr>
          <w:color w:val="FF0000"/>
          <w:lang w:val="nl-BE"/>
        </w:rPr>
        <w:t xml:space="preserve">vraagt ook dat </w:t>
      </w:r>
      <w:r w:rsidRPr="006C1670">
        <w:rPr>
          <w:b/>
          <w:bCs/>
          <w:color w:val="FF0000"/>
          <w:lang w:val="nl-BE"/>
        </w:rPr>
        <w:t>de budgetten voor de financiering van de bestaande sociale ondernemingen gescheiden worden van deze voor de financiering van nieuwe projecten</w:t>
      </w:r>
      <w:r w:rsidRPr="006C1670">
        <w:rPr>
          <w:color w:val="FF0000"/>
          <w:lang w:val="nl-BE"/>
        </w:rPr>
        <w:t>. Het is bijgevolg noodzakelijk om bijkomende en specifieke enveloppes voor nieuwe projecten te voorzien, zowel voor mandatering als voor werkgelegenheidssteun (zie punt 2.5).</w:t>
      </w:r>
    </w:p>
    <w:p w14:paraId="0609DBAF" w14:textId="29125344" w:rsidR="009572A6" w:rsidRPr="00107C39" w:rsidRDefault="00FA1A15" w:rsidP="009729D6">
      <w:pPr>
        <w:pStyle w:val="Kop3"/>
        <w:rPr>
          <w:lang w:val="nl-BE"/>
        </w:rPr>
      </w:pPr>
      <w:r>
        <w:rPr>
          <w:lang w:val="nl-BE"/>
        </w:rPr>
        <w:t xml:space="preserve"> </w:t>
      </w:r>
      <w:r w:rsidR="009572A6" w:rsidRPr="00E82D84">
        <w:rPr>
          <w:lang w:val="nl-BE"/>
        </w:rPr>
        <w:t>Art</w:t>
      </w:r>
      <w:r w:rsidR="00CD0F37" w:rsidRPr="00E82D84">
        <w:rPr>
          <w:lang w:val="nl-BE"/>
        </w:rPr>
        <w:t>i</w:t>
      </w:r>
      <w:r w:rsidR="00107C39" w:rsidRPr="00E82D84">
        <w:rPr>
          <w:lang w:val="nl-BE"/>
        </w:rPr>
        <w:t>kel</w:t>
      </w:r>
      <w:r w:rsidR="009572A6" w:rsidRPr="00E82D84">
        <w:rPr>
          <w:lang w:val="nl-BE"/>
        </w:rPr>
        <w:t xml:space="preserve"> 2</w:t>
      </w:r>
      <w:r w:rsidR="00CD0F37" w:rsidRPr="00E82D84">
        <w:rPr>
          <w:lang w:val="nl-BE"/>
        </w:rPr>
        <w:t xml:space="preserve">. </w:t>
      </w:r>
      <w:r w:rsidR="009572A6" w:rsidRPr="00107C39">
        <w:rPr>
          <w:lang w:val="nl-BE"/>
        </w:rPr>
        <w:t>§3</w:t>
      </w:r>
      <w:r w:rsidR="00CD0F37" w:rsidRPr="00107C39">
        <w:rPr>
          <w:lang w:val="nl-BE"/>
        </w:rPr>
        <w:t xml:space="preserve"> </w:t>
      </w:r>
      <w:r w:rsidR="00107C39" w:rsidRPr="00107C39">
        <w:rPr>
          <w:lang w:val="nl-BE"/>
        </w:rPr>
        <w:t>–</w:t>
      </w:r>
      <w:r w:rsidR="009572A6" w:rsidRPr="00107C39">
        <w:rPr>
          <w:lang w:val="nl-BE"/>
        </w:rPr>
        <w:t xml:space="preserve"> </w:t>
      </w:r>
      <w:r w:rsidR="00107C39" w:rsidRPr="00107C39">
        <w:rPr>
          <w:lang w:val="nl-BE"/>
        </w:rPr>
        <w:t xml:space="preserve">Voorwaarden en procedure voor de toekenning en hernieuwing van het mandaat en vraag om </w:t>
      </w:r>
      <w:r w:rsidR="00107C39">
        <w:rPr>
          <w:lang w:val="nl-BE"/>
        </w:rPr>
        <w:t xml:space="preserve">ECOSOC-banen </w:t>
      </w:r>
    </w:p>
    <w:p w14:paraId="61ACFAD0" w14:textId="4C1158C4" w:rsidR="00FA1A15" w:rsidRDefault="00FA1A15" w:rsidP="007257DA">
      <w:pPr>
        <w:spacing w:line="276" w:lineRule="auto"/>
        <w:rPr>
          <w:lang w:val="nl-BE"/>
        </w:rPr>
      </w:pPr>
      <w:r w:rsidRPr="00FA1A15">
        <w:rPr>
          <w:lang w:val="nl-BE"/>
        </w:rPr>
        <w:t xml:space="preserve">De </w:t>
      </w:r>
      <w:r>
        <w:rPr>
          <w:b/>
          <w:bCs/>
          <w:lang w:val="nl-BE"/>
        </w:rPr>
        <w:t>ARSO</w:t>
      </w:r>
      <w:r w:rsidRPr="00FA1A15">
        <w:rPr>
          <w:lang w:val="nl-BE"/>
        </w:rPr>
        <w:t xml:space="preserve"> pleit voor </w:t>
      </w:r>
      <w:r w:rsidRPr="00FA1A15">
        <w:rPr>
          <w:b/>
          <w:bCs/>
          <w:lang w:val="nl-BE"/>
        </w:rPr>
        <w:t>meer flexibiliteit bij het wijzigen van het inschakelingsprogramma</w:t>
      </w:r>
      <w:r w:rsidRPr="00FA1A15">
        <w:rPr>
          <w:lang w:val="nl-BE"/>
        </w:rPr>
        <w:t xml:space="preserve"> gedurende de vijf jaar van het in</w:t>
      </w:r>
      <w:r>
        <w:rPr>
          <w:lang w:val="nl-BE"/>
        </w:rPr>
        <w:t>schakelings</w:t>
      </w:r>
      <w:r w:rsidRPr="00FA1A15">
        <w:rPr>
          <w:lang w:val="nl-BE"/>
        </w:rPr>
        <w:t>mandaat. Deze flexibiliteit moet in</w:t>
      </w:r>
      <w:r>
        <w:rPr>
          <w:lang w:val="nl-BE"/>
        </w:rPr>
        <w:t>schakelings</w:t>
      </w:r>
      <w:r w:rsidRPr="00FA1A15">
        <w:rPr>
          <w:lang w:val="nl-BE"/>
        </w:rPr>
        <w:t xml:space="preserve">projecten in staat stellen </w:t>
      </w:r>
      <w:r>
        <w:rPr>
          <w:lang w:val="nl-BE"/>
        </w:rPr>
        <w:t xml:space="preserve">om </w:t>
      </w:r>
      <w:r w:rsidRPr="00FA1A15">
        <w:rPr>
          <w:b/>
          <w:bCs/>
          <w:lang w:val="nl-BE"/>
        </w:rPr>
        <w:t>zich aan de professionele ontwikkelingen en de behoeften van het doelpubliek aan te passen</w:t>
      </w:r>
      <w:r w:rsidRPr="00FA1A15">
        <w:rPr>
          <w:lang w:val="nl-BE"/>
        </w:rPr>
        <w:t xml:space="preserve">. Momenteel </w:t>
      </w:r>
      <w:r>
        <w:rPr>
          <w:lang w:val="nl-BE"/>
        </w:rPr>
        <w:t>is er enkel</w:t>
      </w:r>
      <w:r w:rsidRPr="00FA1A15">
        <w:rPr>
          <w:lang w:val="nl-BE"/>
        </w:rPr>
        <w:t xml:space="preserve"> een mechanisme </w:t>
      </w:r>
      <w:r>
        <w:rPr>
          <w:lang w:val="nl-BE"/>
        </w:rPr>
        <w:t xml:space="preserve">voorzien </w:t>
      </w:r>
      <w:r w:rsidRPr="00FA1A15">
        <w:rPr>
          <w:lang w:val="nl-BE"/>
        </w:rPr>
        <w:t xml:space="preserve">om het mandaat te herzien. Dit blijkt echter onvoldoende te zijn om aan deze veranderingen en behoeften tegemoet te komen en wordt weinig gebruikt door de </w:t>
      </w:r>
      <w:r>
        <w:rPr>
          <w:lang w:val="nl-BE"/>
        </w:rPr>
        <w:t>structuren</w:t>
      </w:r>
      <w:r w:rsidRPr="00FA1A15">
        <w:rPr>
          <w:lang w:val="nl-BE"/>
        </w:rPr>
        <w:t xml:space="preserve">. Uiteraard moeten alle wijzigingen de </w:t>
      </w:r>
      <w:r w:rsidRPr="008A69CB">
        <w:rPr>
          <w:b/>
          <w:bCs/>
          <w:lang w:val="nl-BE"/>
        </w:rPr>
        <w:t>kwaliteit</w:t>
      </w:r>
      <w:r w:rsidRPr="00FA1A15">
        <w:rPr>
          <w:lang w:val="nl-BE"/>
        </w:rPr>
        <w:t xml:space="preserve"> van het in</w:t>
      </w:r>
      <w:r w:rsidR="008A69CB">
        <w:rPr>
          <w:lang w:val="nl-BE"/>
        </w:rPr>
        <w:t>schakelings</w:t>
      </w:r>
      <w:r w:rsidRPr="00FA1A15">
        <w:rPr>
          <w:lang w:val="nl-BE"/>
        </w:rPr>
        <w:t>programma respecteren.</w:t>
      </w:r>
    </w:p>
    <w:p w14:paraId="0F88BE17" w14:textId="77777777" w:rsidR="008A69CB" w:rsidRPr="00FA1A15" w:rsidRDefault="008A69CB" w:rsidP="008A69CB">
      <w:pPr>
        <w:spacing w:before="0" w:line="276" w:lineRule="auto"/>
        <w:rPr>
          <w:lang w:val="nl-BE"/>
        </w:rPr>
      </w:pPr>
    </w:p>
    <w:p w14:paraId="1E616CFB" w14:textId="72BA12FB" w:rsidR="008A69CB" w:rsidRPr="008A69CB" w:rsidRDefault="008A69CB" w:rsidP="008A69CB">
      <w:pPr>
        <w:pStyle w:val="Lijstnummering"/>
        <w:numPr>
          <w:ilvl w:val="0"/>
          <w:numId w:val="0"/>
        </w:numPr>
        <w:spacing w:line="276" w:lineRule="auto"/>
        <w:rPr>
          <w:lang w:val="nl-BE"/>
        </w:rPr>
      </w:pPr>
      <w:r w:rsidRPr="008A69CB">
        <w:rPr>
          <w:lang w:val="nl-BE"/>
        </w:rPr>
        <w:t xml:space="preserve">De </w:t>
      </w:r>
      <w:r>
        <w:rPr>
          <w:b/>
          <w:bCs/>
          <w:lang w:val="nl-BE"/>
        </w:rPr>
        <w:t>ARSO</w:t>
      </w:r>
      <w:r w:rsidRPr="008A69CB">
        <w:rPr>
          <w:lang w:val="nl-BE"/>
        </w:rPr>
        <w:t xml:space="preserve"> stelt voor om </w:t>
      </w:r>
      <w:r>
        <w:rPr>
          <w:lang w:val="nl-BE"/>
        </w:rPr>
        <w:t>aange</w:t>
      </w:r>
      <w:r w:rsidRPr="008A69CB">
        <w:rPr>
          <w:lang w:val="nl-BE"/>
        </w:rPr>
        <w:t>pas</w:t>
      </w:r>
      <w:r>
        <w:rPr>
          <w:lang w:val="nl-BE"/>
        </w:rPr>
        <w:t>t</w:t>
      </w:r>
      <w:r w:rsidRPr="008A69CB">
        <w:rPr>
          <w:lang w:val="nl-BE"/>
        </w:rPr>
        <w:t>e procedures in te voeren, afhankelijk van het geval:</w:t>
      </w:r>
    </w:p>
    <w:p w14:paraId="1A9E9A86" w14:textId="46B9363F" w:rsidR="008A69CB" w:rsidRPr="008A69CB" w:rsidRDefault="008A69CB" w:rsidP="008A69CB">
      <w:pPr>
        <w:pStyle w:val="Lijstnummering"/>
        <w:numPr>
          <w:ilvl w:val="0"/>
          <w:numId w:val="0"/>
        </w:numPr>
        <w:spacing w:line="276" w:lineRule="auto"/>
        <w:ind w:left="720" w:hanging="360"/>
        <w:rPr>
          <w:lang w:val="nl-BE"/>
        </w:rPr>
      </w:pPr>
      <w:r w:rsidRPr="008A69CB">
        <w:rPr>
          <w:lang w:val="nl-BE"/>
        </w:rPr>
        <w:t>1.</w:t>
      </w:r>
      <w:r w:rsidRPr="008A69CB">
        <w:rPr>
          <w:lang w:val="nl-BE"/>
        </w:rPr>
        <w:tab/>
        <w:t xml:space="preserve">Wanneer het aantal </w:t>
      </w:r>
      <w:r>
        <w:rPr>
          <w:lang w:val="nl-BE"/>
        </w:rPr>
        <w:t>banen</w:t>
      </w:r>
      <w:r w:rsidRPr="008A69CB">
        <w:rPr>
          <w:lang w:val="nl-BE"/>
        </w:rPr>
        <w:t xml:space="preserve"> voor </w:t>
      </w:r>
      <w:r>
        <w:rPr>
          <w:lang w:val="nl-BE"/>
        </w:rPr>
        <w:t>het doelpubliek</w:t>
      </w:r>
      <w:r w:rsidRPr="008A69CB">
        <w:rPr>
          <w:lang w:val="nl-BE"/>
        </w:rPr>
        <w:t xml:space="preserve"> niet </w:t>
      </w:r>
      <w:r>
        <w:rPr>
          <w:lang w:val="nl-BE"/>
        </w:rPr>
        <w:t>stijgt</w:t>
      </w:r>
      <w:r w:rsidRPr="008A69CB">
        <w:rPr>
          <w:lang w:val="nl-BE"/>
        </w:rPr>
        <w:t xml:space="preserve"> en er dus geen </w:t>
      </w:r>
      <w:r>
        <w:rPr>
          <w:lang w:val="nl-BE"/>
        </w:rPr>
        <w:t>sprake is van een impact op</w:t>
      </w:r>
      <w:r w:rsidRPr="008A69CB">
        <w:rPr>
          <w:lang w:val="nl-BE"/>
        </w:rPr>
        <w:t xml:space="preserve"> de begroting:</w:t>
      </w:r>
    </w:p>
    <w:p w14:paraId="519AC924" w14:textId="476C8582" w:rsidR="008A69CB" w:rsidRPr="008A69CB" w:rsidRDefault="008A69CB" w:rsidP="008A69CB">
      <w:pPr>
        <w:pStyle w:val="Lijstnummering"/>
        <w:numPr>
          <w:ilvl w:val="0"/>
          <w:numId w:val="0"/>
        </w:numPr>
        <w:spacing w:line="276" w:lineRule="auto"/>
        <w:ind w:left="1410" w:hanging="690"/>
        <w:rPr>
          <w:lang w:val="nl-BE"/>
        </w:rPr>
      </w:pPr>
      <w:r w:rsidRPr="008A69CB">
        <w:rPr>
          <w:lang w:val="nl-BE"/>
        </w:rPr>
        <w:t>a.</w:t>
      </w:r>
      <w:r w:rsidRPr="008A69CB">
        <w:rPr>
          <w:lang w:val="nl-BE"/>
        </w:rPr>
        <w:tab/>
      </w:r>
      <w:r w:rsidR="002B72CD">
        <w:rPr>
          <w:lang w:val="nl-BE"/>
        </w:rPr>
        <w:t>v</w:t>
      </w:r>
      <w:r w:rsidRPr="008A69CB">
        <w:rPr>
          <w:lang w:val="nl-BE"/>
        </w:rPr>
        <w:t xml:space="preserve">oorzien in een </w:t>
      </w:r>
      <w:r w:rsidRPr="008A69CB">
        <w:rPr>
          <w:b/>
          <w:bCs/>
          <w:lang w:val="nl-BE"/>
        </w:rPr>
        <w:t>informatieprocedure</w:t>
      </w:r>
      <w:r w:rsidRPr="008A69CB">
        <w:rPr>
          <w:lang w:val="nl-BE"/>
        </w:rPr>
        <w:t xml:space="preserve"> voor wijzigingen </w:t>
      </w:r>
      <w:r>
        <w:rPr>
          <w:lang w:val="nl-BE"/>
        </w:rPr>
        <w:t>va</w:t>
      </w:r>
      <w:r w:rsidRPr="008A69CB">
        <w:rPr>
          <w:lang w:val="nl-BE"/>
        </w:rPr>
        <w:t xml:space="preserve">n </w:t>
      </w:r>
      <w:proofErr w:type="spellStart"/>
      <w:r w:rsidRPr="008A69CB">
        <w:rPr>
          <w:lang w:val="nl-BE"/>
        </w:rPr>
        <w:t>doelgroepfuncties</w:t>
      </w:r>
      <w:proofErr w:type="spellEnd"/>
      <w:r w:rsidRPr="008A69CB">
        <w:rPr>
          <w:lang w:val="nl-BE"/>
        </w:rPr>
        <w:t xml:space="preserve"> die </w:t>
      </w:r>
      <w:r>
        <w:rPr>
          <w:lang w:val="nl-BE"/>
        </w:rPr>
        <w:t>reeds</w:t>
      </w:r>
      <w:r w:rsidRPr="008A69CB">
        <w:rPr>
          <w:lang w:val="nl-BE"/>
        </w:rPr>
        <w:t xml:space="preserve"> in het in</w:t>
      </w:r>
      <w:r>
        <w:rPr>
          <w:lang w:val="nl-BE"/>
        </w:rPr>
        <w:t>schakelings</w:t>
      </w:r>
      <w:r w:rsidRPr="008A69CB">
        <w:rPr>
          <w:lang w:val="nl-BE"/>
        </w:rPr>
        <w:t>programma zijn opgenomen;</w:t>
      </w:r>
    </w:p>
    <w:p w14:paraId="3A234857" w14:textId="03276523" w:rsidR="008A69CB" w:rsidRPr="008A69CB" w:rsidRDefault="008A69CB" w:rsidP="008A69CB">
      <w:pPr>
        <w:pStyle w:val="Lijstnummering"/>
        <w:numPr>
          <w:ilvl w:val="0"/>
          <w:numId w:val="0"/>
        </w:numPr>
        <w:spacing w:line="276" w:lineRule="auto"/>
        <w:ind w:left="1410" w:hanging="690"/>
        <w:rPr>
          <w:lang w:val="nl-BE"/>
        </w:rPr>
      </w:pPr>
      <w:r w:rsidRPr="008A69CB">
        <w:rPr>
          <w:lang w:val="nl-BE"/>
        </w:rPr>
        <w:t>b.</w:t>
      </w:r>
      <w:r w:rsidRPr="008A69CB">
        <w:rPr>
          <w:lang w:val="nl-BE"/>
        </w:rPr>
        <w:tab/>
      </w:r>
      <w:r w:rsidR="002B72CD">
        <w:rPr>
          <w:lang w:val="nl-BE"/>
        </w:rPr>
        <w:t>e</w:t>
      </w:r>
      <w:r w:rsidRPr="008A69CB">
        <w:rPr>
          <w:lang w:val="nl-BE"/>
        </w:rPr>
        <w:t xml:space="preserve">en </w:t>
      </w:r>
      <w:r w:rsidRPr="008A69CB">
        <w:rPr>
          <w:b/>
          <w:bCs/>
          <w:lang w:val="nl-BE"/>
        </w:rPr>
        <w:t>vereenvoudigde wijzigingsprocedure</w:t>
      </w:r>
      <w:r w:rsidRPr="008A69CB">
        <w:rPr>
          <w:lang w:val="nl-BE"/>
        </w:rPr>
        <w:t xml:space="preserve"> voor wijzigingen </w:t>
      </w:r>
      <w:r>
        <w:rPr>
          <w:lang w:val="nl-BE"/>
        </w:rPr>
        <w:t>va</w:t>
      </w:r>
      <w:r w:rsidRPr="008A69CB">
        <w:rPr>
          <w:lang w:val="nl-BE"/>
        </w:rPr>
        <w:t>n functies die niet in het in</w:t>
      </w:r>
      <w:r>
        <w:rPr>
          <w:lang w:val="nl-BE"/>
        </w:rPr>
        <w:t>schakelings</w:t>
      </w:r>
      <w:r w:rsidRPr="008A69CB">
        <w:rPr>
          <w:lang w:val="nl-BE"/>
        </w:rPr>
        <w:t xml:space="preserve">programma zijn opgenomen, maar die ofwel functies in dezelfde activiteitensector of nieuwe eisen </w:t>
      </w:r>
      <w:r>
        <w:rPr>
          <w:lang w:val="nl-BE"/>
        </w:rPr>
        <w:t>va</w:t>
      </w:r>
      <w:r w:rsidRPr="008A69CB">
        <w:rPr>
          <w:lang w:val="nl-BE"/>
        </w:rPr>
        <w:t xml:space="preserve">n de activiteitensector zijn, ofwel ondersteunende functies. </w:t>
      </w:r>
    </w:p>
    <w:p w14:paraId="769AF869" w14:textId="024D860C" w:rsidR="008A69CB" w:rsidRPr="008A69CB" w:rsidRDefault="008A69CB" w:rsidP="008A69CB">
      <w:pPr>
        <w:pStyle w:val="Lijstnummering"/>
        <w:numPr>
          <w:ilvl w:val="0"/>
          <w:numId w:val="0"/>
        </w:numPr>
        <w:spacing w:line="276" w:lineRule="auto"/>
        <w:ind w:left="720" w:hanging="360"/>
        <w:rPr>
          <w:lang w:val="nl-BE"/>
        </w:rPr>
      </w:pPr>
      <w:r w:rsidRPr="008A69CB">
        <w:rPr>
          <w:lang w:val="nl-BE"/>
        </w:rPr>
        <w:t>2.</w:t>
      </w:r>
      <w:r w:rsidRPr="008A69CB">
        <w:rPr>
          <w:lang w:val="nl-BE"/>
        </w:rPr>
        <w:tab/>
        <w:t xml:space="preserve">In het geval van een </w:t>
      </w:r>
      <w:r>
        <w:rPr>
          <w:lang w:val="nl-BE"/>
        </w:rPr>
        <w:t>stijging</w:t>
      </w:r>
      <w:r w:rsidRPr="008A69CB">
        <w:rPr>
          <w:lang w:val="nl-BE"/>
        </w:rPr>
        <w:t xml:space="preserve"> van het aantal posten voor </w:t>
      </w:r>
      <w:r>
        <w:rPr>
          <w:lang w:val="nl-BE"/>
        </w:rPr>
        <w:t>het doelpubliek met</w:t>
      </w:r>
      <w:r w:rsidRPr="008A69CB">
        <w:rPr>
          <w:lang w:val="nl-BE"/>
        </w:rPr>
        <w:t xml:space="preserve"> een impact op de begroting:</w:t>
      </w:r>
    </w:p>
    <w:p w14:paraId="0ADC11A6" w14:textId="24DED448" w:rsidR="008A69CB" w:rsidRPr="008A69CB" w:rsidRDefault="008A69CB" w:rsidP="008A69CB">
      <w:pPr>
        <w:pStyle w:val="Lijstnummering"/>
        <w:numPr>
          <w:ilvl w:val="0"/>
          <w:numId w:val="0"/>
        </w:numPr>
        <w:spacing w:line="276" w:lineRule="auto"/>
        <w:ind w:left="1413" w:hanging="705"/>
        <w:rPr>
          <w:lang w:val="nl-BE"/>
        </w:rPr>
      </w:pPr>
      <w:r w:rsidRPr="008A69CB">
        <w:rPr>
          <w:lang w:val="nl-BE"/>
        </w:rPr>
        <w:t>c.</w:t>
      </w:r>
      <w:r w:rsidRPr="008A69CB">
        <w:rPr>
          <w:lang w:val="nl-BE"/>
        </w:rPr>
        <w:tab/>
        <w:t xml:space="preserve">een </w:t>
      </w:r>
      <w:r w:rsidRPr="008A69CB">
        <w:rPr>
          <w:b/>
          <w:bCs/>
          <w:lang w:val="nl-BE"/>
        </w:rPr>
        <w:t>vereenvoudigde wijzigingsprocedure</w:t>
      </w:r>
      <w:r w:rsidRPr="008A69CB">
        <w:rPr>
          <w:lang w:val="nl-BE"/>
        </w:rPr>
        <w:t xml:space="preserve"> invoeren voor functies die </w:t>
      </w:r>
      <w:r>
        <w:rPr>
          <w:lang w:val="nl-BE"/>
        </w:rPr>
        <w:t>reeds</w:t>
      </w:r>
      <w:r w:rsidRPr="008A69CB">
        <w:rPr>
          <w:lang w:val="nl-BE"/>
        </w:rPr>
        <w:t xml:space="preserve"> in het in</w:t>
      </w:r>
      <w:r>
        <w:rPr>
          <w:lang w:val="nl-BE"/>
        </w:rPr>
        <w:t>schakelings</w:t>
      </w:r>
      <w:r w:rsidRPr="008A69CB">
        <w:rPr>
          <w:lang w:val="nl-BE"/>
        </w:rPr>
        <w:t>programma zijn opgenomen</w:t>
      </w:r>
    </w:p>
    <w:p w14:paraId="6CA7CECD" w14:textId="7A4CEFAA" w:rsidR="008A69CB" w:rsidRPr="00AB4369" w:rsidRDefault="008A69CB" w:rsidP="008A69CB">
      <w:pPr>
        <w:spacing w:line="276" w:lineRule="auto"/>
        <w:rPr>
          <w:b/>
          <w:bCs/>
          <w:lang w:val="nl-BE"/>
        </w:rPr>
      </w:pPr>
      <w:r>
        <w:rPr>
          <w:lang w:val="nl-BE"/>
        </w:rPr>
        <w:t>Momenteel</w:t>
      </w:r>
      <w:r w:rsidRPr="008A69CB">
        <w:rPr>
          <w:lang w:val="nl-BE"/>
        </w:rPr>
        <w:t xml:space="preserve"> is er geen </w:t>
      </w:r>
      <w:r>
        <w:rPr>
          <w:lang w:val="nl-BE"/>
        </w:rPr>
        <w:t xml:space="preserve">enkele </w:t>
      </w:r>
      <w:r w:rsidRPr="008A69CB">
        <w:rPr>
          <w:lang w:val="nl-BE"/>
        </w:rPr>
        <w:t xml:space="preserve">procedure voor het aanvragen van </w:t>
      </w:r>
      <w:r>
        <w:rPr>
          <w:lang w:val="nl-BE"/>
        </w:rPr>
        <w:t>ECOSOC-</w:t>
      </w:r>
      <w:r w:rsidRPr="008A69CB">
        <w:rPr>
          <w:lang w:val="nl-BE"/>
        </w:rPr>
        <w:t>werkgelegenheidss</w:t>
      </w:r>
      <w:r>
        <w:rPr>
          <w:lang w:val="nl-BE"/>
        </w:rPr>
        <w:t>teun,</w:t>
      </w:r>
      <w:r w:rsidRPr="008A69CB">
        <w:rPr>
          <w:lang w:val="nl-BE"/>
        </w:rPr>
        <w:t xml:space="preserve"> afgezien van de </w:t>
      </w:r>
      <w:r>
        <w:rPr>
          <w:lang w:val="nl-BE"/>
        </w:rPr>
        <w:t>mandaat</w:t>
      </w:r>
      <w:r w:rsidRPr="008A69CB">
        <w:rPr>
          <w:lang w:val="nl-BE"/>
        </w:rPr>
        <w:t xml:space="preserve">aanvraag voor </w:t>
      </w:r>
      <w:r>
        <w:rPr>
          <w:lang w:val="nl-BE"/>
        </w:rPr>
        <w:t>inschakeling</w:t>
      </w:r>
      <w:r w:rsidRPr="008A69CB">
        <w:rPr>
          <w:lang w:val="nl-BE"/>
        </w:rPr>
        <w:t>. Bijgevolg kunnen sociale ondernemingen met een in</w:t>
      </w:r>
      <w:r>
        <w:rPr>
          <w:lang w:val="nl-BE"/>
        </w:rPr>
        <w:t>schakelings</w:t>
      </w:r>
      <w:r w:rsidRPr="008A69CB">
        <w:rPr>
          <w:lang w:val="nl-BE"/>
        </w:rPr>
        <w:t xml:space="preserve">mandaat tijdens de vijf jaar van het mandaat </w:t>
      </w:r>
      <w:r>
        <w:rPr>
          <w:lang w:val="nl-BE"/>
        </w:rPr>
        <w:t>geen</w:t>
      </w:r>
      <w:r w:rsidRPr="008A69CB">
        <w:rPr>
          <w:lang w:val="nl-BE"/>
        </w:rPr>
        <w:t xml:space="preserve"> ECOSOC-</w:t>
      </w:r>
      <w:r>
        <w:rPr>
          <w:lang w:val="nl-BE"/>
        </w:rPr>
        <w:t>banen aanvragen</w:t>
      </w:r>
      <w:r w:rsidRPr="008A69CB">
        <w:rPr>
          <w:lang w:val="nl-BE"/>
        </w:rPr>
        <w:t xml:space="preserve">, wat de ontwikkeling van de sector belemmert. Daarom zou de </w:t>
      </w:r>
      <w:r>
        <w:rPr>
          <w:b/>
          <w:bCs/>
          <w:lang w:val="nl-BE"/>
        </w:rPr>
        <w:t>ARSO</w:t>
      </w:r>
      <w:r w:rsidRPr="008A69CB">
        <w:rPr>
          <w:lang w:val="nl-BE"/>
        </w:rPr>
        <w:t xml:space="preserve"> ook graag een </w:t>
      </w:r>
      <w:r w:rsidRPr="00AB4369">
        <w:rPr>
          <w:b/>
          <w:bCs/>
          <w:lang w:val="nl-BE"/>
        </w:rPr>
        <w:t xml:space="preserve">eenvoudige procedure ingevoerd zien voor het aanvragen van ECOSOC-banen in het </w:t>
      </w:r>
      <w:r w:rsidR="00AB4369" w:rsidRPr="00AB4369">
        <w:rPr>
          <w:b/>
          <w:bCs/>
          <w:lang w:val="nl-BE"/>
        </w:rPr>
        <w:t>besluit</w:t>
      </w:r>
      <w:r w:rsidRPr="00AB4369">
        <w:rPr>
          <w:b/>
          <w:bCs/>
          <w:lang w:val="nl-BE"/>
        </w:rPr>
        <w:t xml:space="preserve"> van 16 mei 2019 </w:t>
      </w:r>
      <w:r w:rsidR="00AB4369" w:rsidRPr="00AB4369">
        <w:rPr>
          <w:b/>
          <w:bCs/>
          <w:lang w:val="nl-BE"/>
        </w:rPr>
        <w:t>betreffende de maatregel voor inschakelingsbanen in de sociale economie</w:t>
      </w:r>
      <w:r w:rsidRPr="00AB4369">
        <w:rPr>
          <w:b/>
          <w:bCs/>
          <w:lang w:val="nl-BE"/>
        </w:rPr>
        <w:t xml:space="preserve">. </w:t>
      </w:r>
    </w:p>
    <w:p w14:paraId="2A66F320" w14:textId="4A1EDCD2" w:rsidR="008A69CB" w:rsidRPr="008A69CB" w:rsidRDefault="008A69CB" w:rsidP="008A69CB">
      <w:pPr>
        <w:spacing w:line="276" w:lineRule="auto"/>
        <w:rPr>
          <w:lang w:val="nl-BE"/>
        </w:rPr>
      </w:pPr>
      <w:r w:rsidRPr="008A69CB">
        <w:rPr>
          <w:lang w:val="nl-BE"/>
        </w:rPr>
        <w:t xml:space="preserve">Wat ten slotte de </w:t>
      </w:r>
      <w:r w:rsidR="00AB4369">
        <w:rPr>
          <w:lang w:val="nl-BE"/>
        </w:rPr>
        <w:t>verdeling</w:t>
      </w:r>
      <w:r w:rsidRPr="008A69CB">
        <w:rPr>
          <w:lang w:val="nl-BE"/>
        </w:rPr>
        <w:t xml:space="preserve"> van de werk</w:t>
      </w:r>
      <w:r w:rsidR="00AB4369">
        <w:rPr>
          <w:lang w:val="nl-BE"/>
        </w:rPr>
        <w:t>tijd</w:t>
      </w:r>
      <w:r w:rsidRPr="008A69CB">
        <w:rPr>
          <w:lang w:val="nl-BE"/>
        </w:rPr>
        <w:t xml:space="preserve"> van de </w:t>
      </w:r>
      <w:r w:rsidR="00AB4369">
        <w:rPr>
          <w:lang w:val="nl-BE"/>
        </w:rPr>
        <w:t>begeleiders</w:t>
      </w:r>
      <w:r w:rsidRPr="008A69CB">
        <w:rPr>
          <w:lang w:val="nl-BE"/>
        </w:rPr>
        <w:t xml:space="preserve"> betreft, dringt de </w:t>
      </w:r>
      <w:r w:rsidR="00AB4369">
        <w:rPr>
          <w:b/>
          <w:bCs/>
          <w:lang w:val="nl-BE"/>
        </w:rPr>
        <w:t>ARSO</w:t>
      </w:r>
      <w:r w:rsidRPr="008A69CB">
        <w:rPr>
          <w:lang w:val="nl-BE"/>
        </w:rPr>
        <w:t xml:space="preserve"> aan op het behoud van een globale </w:t>
      </w:r>
      <w:r w:rsidR="00AB4369">
        <w:rPr>
          <w:lang w:val="nl-BE"/>
        </w:rPr>
        <w:t>verdel</w:t>
      </w:r>
      <w:r w:rsidRPr="008A69CB">
        <w:rPr>
          <w:lang w:val="nl-BE"/>
        </w:rPr>
        <w:t>ing.</w:t>
      </w:r>
    </w:p>
    <w:p w14:paraId="49266218" w14:textId="5E6F40A6" w:rsidR="009572A6" w:rsidRPr="00107C39" w:rsidRDefault="00AB4369" w:rsidP="009729D6">
      <w:pPr>
        <w:pStyle w:val="Kop3"/>
        <w:rPr>
          <w:lang w:val="nl-BE"/>
        </w:rPr>
      </w:pPr>
      <w:r>
        <w:rPr>
          <w:lang w:val="nl-BE"/>
        </w:rPr>
        <w:lastRenderedPageBreak/>
        <w:t xml:space="preserve"> </w:t>
      </w:r>
      <w:r w:rsidR="00DF6B52" w:rsidRPr="00E82D84">
        <w:rPr>
          <w:lang w:val="nl-BE"/>
        </w:rPr>
        <w:t>Art</w:t>
      </w:r>
      <w:r w:rsidR="006E6688" w:rsidRPr="00E82D84">
        <w:rPr>
          <w:lang w:val="nl-BE"/>
        </w:rPr>
        <w:t>i</w:t>
      </w:r>
      <w:r w:rsidR="00107C39" w:rsidRPr="00E82D84">
        <w:rPr>
          <w:lang w:val="nl-BE"/>
        </w:rPr>
        <w:t>kel</w:t>
      </w:r>
      <w:r w:rsidR="00DF6B52" w:rsidRPr="00E82D84">
        <w:rPr>
          <w:lang w:val="nl-BE"/>
        </w:rPr>
        <w:t xml:space="preserve"> 2</w:t>
      </w:r>
      <w:r w:rsidR="006E6688" w:rsidRPr="00E82D84">
        <w:rPr>
          <w:lang w:val="nl-BE"/>
        </w:rPr>
        <w:t>.</w:t>
      </w:r>
      <w:r w:rsidR="00DF6B52" w:rsidRPr="00E82D84">
        <w:rPr>
          <w:lang w:val="nl-BE"/>
        </w:rPr>
        <w:t xml:space="preserve"> </w:t>
      </w:r>
      <w:r w:rsidR="00DF6B52" w:rsidRPr="00107C39">
        <w:rPr>
          <w:lang w:val="nl-BE"/>
        </w:rPr>
        <w:t xml:space="preserve">§ 4-6 </w:t>
      </w:r>
      <w:r w:rsidR="00107C39" w:rsidRPr="00107C39">
        <w:rPr>
          <w:lang w:val="nl-BE"/>
        </w:rPr>
        <w:t>–</w:t>
      </w:r>
      <w:r w:rsidR="006E6688" w:rsidRPr="00107C39">
        <w:rPr>
          <w:lang w:val="nl-BE"/>
        </w:rPr>
        <w:t xml:space="preserve"> </w:t>
      </w:r>
      <w:r w:rsidR="00107C39" w:rsidRPr="00107C39">
        <w:rPr>
          <w:lang w:val="nl-BE"/>
        </w:rPr>
        <w:t>Voorwaarden te ver</w:t>
      </w:r>
      <w:r w:rsidR="00FA1A15">
        <w:rPr>
          <w:lang w:val="nl-BE"/>
        </w:rPr>
        <w:t>v</w:t>
      </w:r>
      <w:r w:rsidR="00107C39" w:rsidRPr="00107C39">
        <w:rPr>
          <w:lang w:val="nl-BE"/>
        </w:rPr>
        <w:t>ullen bij de indiening van de mandaataanvraag</w:t>
      </w:r>
    </w:p>
    <w:p w14:paraId="1777B500" w14:textId="77777777" w:rsidR="00F36388" w:rsidRPr="001E2FD9" w:rsidRDefault="00F36388" w:rsidP="00F36388">
      <w:pPr>
        <w:spacing w:line="276" w:lineRule="auto"/>
        <w:rPr>
          <w:lang w:val="nl-BE"/>
        </w:rPr>
      </w:pPr>
      <w:r w:rsidRPr="001E2FD9">
        <w:rPr>
          <w:lang w:val="nl-BE"/>
        </w:rPr>
        <w:t xml:space="preserve">De </w:t>
      </w:r>
      <w:r>
        <w:rPr>
          <w:b/>
          <w:bCs/>
          <w:lang w:val="nl-BE"/>
        </w:rPr>
        <w:t>ARSO</w:t>
      </w:r>
      <w:r w:rsidRPr="001E2FD9">
        <w:rPr>
          <w:lang w:val="nl-BE"/>
        </w:rPr>
        <w:t xml:space="preserve"> is van mening dat het belangrijk is om de verplichting te behouden </w:t>
      </w:r>
      <w:r>
        <w:rPr>
          <w:lang w:val="nl-BE"/>
        </w:rPr>
        <w:t>voor</w:t>
      </w:r>
      <w:r w:rsidRPr="001E2FD9">
        <w:rPr>
          <w:lang w:val="nl-BE"/>
        </w:rPr>
        <w:t xml:space="preserve"> de sociale in</w:t>
      </w:r>
      <w:r>
        <w:rPr>
          <w:lang w:val="nl-BE"/>
        </w:rPr>
        <w:t>schakelings</w:t>
      </w:r>
      <w:r w:rsidRPr="001E2FD9">
        <w:rPr>
          <w:lang w:val="nl-BE"/>
        </w:rPr>
        <w:t xml:space="preserve">onderneming </w:t>
      </w:r>
      <w:r>
        <w:rPr>
          <w:lang w:val="nl-BE"/>
        </w:rPr>
        <w:t xml:space="preserve">om </w:t>
      </w:r>
      <w:r w:rsidRPr="00F36388">
        <w:rPr>
          <w:b/>
          <w:bCs/>
          <w:lang w:val="nl-BE"/>
        </w:rPr>
        <w:t>één VTE van het doelpubliek in dienst te hebben wanneer zij de aanvraag voor een inschakelingsmandaat aanvraagt</w:t>
      </w:r>
      <w:r w:rsidRPr="001E2FD9">
        <w:rPr>
          <w:lang w:val="nl-BE"/>
        </w:rPr>
        <w:t xml:space="preserve">. Op dat moment komt alleen het </w:t>
      </w:r>
      <w:r>
        <w:rPr>
          <w:lang w:val="nl-BE"/>
        </w:rPr>
        <w:t xml:space="preserve">statuut van de </w:t>
      </w:r>
      <w:r w:rsidRPr="001E2FD9">
        <w:rPr>
          <w:lang w:val="nl-BE"/>
        </w:rPr>
        <w:t>artikel</w:t>
      </w:r>
      <w:r>
        <w:rPr>
          <w:lang w:val="nl-BE"/>
        </w:rPr>
        <w:t>en</w:t>
      </w:r>
      <w:r w:rsidRPr="001E2FD9">
        <w:rPr>
          <w:lang w:val="nl-BE"/>
        </w:rPr>
        <w:t xml:space="preserve"> 60 in aanmerking</w:t>
      </w:r>
      <w:r w:rsidR="00A5320F">
        <w:rPr>
          <w:rStyle w:val="Voetnootmarkering"/>
        </w:rPr>
        <w:footnoteReference w:id="2"/>
      </w:r>
      <w:r w:rsidR="00177ECC" w:rsidRPr="00F36388">
        <w:rPr>
          <w:lang w:val="nl-BE"/>
        </w:rPr>
        <w:t xml:space="preserve">. </w:t>
      </w:r>
      <w:r w:rsidRPr="001E2FD9">
        <w:rPr>
          <w:lang w:val="nl-BE"/>
        </w:rPr>
        <w:t xml:space="preserve">Bijgevolg zijn </w:t>
      </w:r>
      <w:r w:rsidRPr="00F36388">
        <w:rPr>
          <w:b/>
          <w:bCs/>
          <w:lang w:val="nl-BE"/>
        </w:rPr>
        <w:t>projecten met een directere toegang tot artikelen 60 beter geplaatst</w:t>
      </w:r>
      <w:r w:rsidRPr="001E2FD9">
        <w:rPr>
          <w:lang w:val="nl-BE"/>
        </w:rPr>
        <w:t xml:space="preserve"> om nieuwe projecten </w:t>
      </w:r>
      <w:r>
        <w:rPr>
          <w:lang w:val="nl-BE"/>
        </w:rPr>
        <w:t>in te dienen</w:t>
      </w:r>
      <w:r w:rsidRPr="001E2FD9">
        <w:rPr>
          <w:lang w:val="nl-BE"/>
        </w:rPr>
        <w:t xml:space="preserve">. Hoe meer </w:t>
      </w:r>
      <w:proofErr w:type="spellStart"/>
      <w:r w:rsidRPr="001E2FD9">
        <w:rPr>
          <w:lang w:val="nl-BE"/>
        </w:rPr>
        <w:t>VTE's</w:t>
      </w:r>
      <w:proofErr w:type="spellEnd"/>
      <w:r w:rsidRPr="001E2FD9">
        <w:rPr>
          <w:lang w:val="nl-BE"/>
        </w:rPr>
        <w:t xml:space="preserve"> van </w:t>
      </w:r>
      <w:r>
        <w:rPr>
          <w:lang w:val="nl-BE"/>
        </w:rPr>
        <w:t>het doelpubliek</w:t>
      </w:r>
      <w:r w:rsidRPr="001E2FD9">
        <w:rPr>
          <w:lang w:val="nl-BE"/>
        </w:rPr>
        <w:t xml:space="preserve"> vereist zijn bij het aanvragen van een mandaat, hoe meer structuren met </w:t>
      </w:r>
      <w:r>
        <w:rPr>
          <w:lang w:val="nl-BE"/>
        </w:rPr>
        <w:t xml:space="preserve">een </w:t>
      </w:r>
      <w:r w:rsidRPr="001E2FD9">
        <w:rPr>
          <w:lang w:val="nl-BE"/>
        </w:rPr>
        <w:t xml:space="preserve">"gemakkelijke" toegang tot </w:t>
      </w:r>
      <w:r>
        <w:rPr>
          <w:lang w:val="nl-BE"/>
        </w:rPr>
        <w:t xml:space="preserve">de </w:t>
      </w:r>
      <w:r w:rsidRPr="001E2FD9">
        <w:rPr>
          <w:lang w:val="nl-BE"/>
        </w:rPr>
        <w:t>artikel</w:t>
      </w:r>
      <w:r>
        <w:rPr>
          <w:lang w:val="nl-BE"/>
        </w:rPr>
        <w:t>en</w:t>
      </w:r>
      <w:r w:rsidRPr="001E2FD9">
        <w:rPr>
          <w:lang w:val="nl-BE"/>
        </w:rPr>
        <w:t xml:space="preserve"> 60 </w:t>
      </w:r>
      <w:r>
        <w:rPr>
          <w:lang w:val="nl-BE"/>
        </w:rPr>
        <w:t>bevoorrecht</w:t>
      </w:r>
      <w:r w:rsidRPr="001E2FD9">
        <w:rPr>
          <w:lang w:val="nl-BE"/>
        </w:rPr>
        <w:t xml:space="preserve"> zullen </w:t>
      </w:r>
      <w:r>
        <w:rPr>
          <w:lang w:val="nl-BE"/>
        </w:rPr>
        <w:t>z</w:t>
      </w:r>
      <w:r w:rsidRPr="001E2FD9">
        <w:rPr>
          <w:lang w:val="nl-BE"/>
        </w:rPr>
        <w:t>ijn.</w:t>
      </w:r>
    </w:p>
    <w:p w14:paraId="7143E1A7" w14:textId="175D3064" w:rsidR="001E2FD9" w:rsidRPr="006C1670" w:rsidRDefault="001E2FD9" w:rsidP="001E2FD9">
      <w:pPr>
        <w:spacing w:line="276" w:lineRule="auto"/>
        <w:rPr>
          <w:lang w:val="nl-BE"/>
        </w:rPr>
      </w:pPr>
      <w:r w:rsidRPr="001E2FD9">
        <w:rPr>
          <w:lang w:val="nl-BE"/>
        </w:rPr>
        <w:t xml:space="preserve">De </w:t>
      </w:r>
      <w:r w:rsidR="00F36388">
        <w:rPr>
          <w:b/>
          <w:bCs/>
          <w:lang w:val="nl-BE"/>
        </w:rPr>
        <w:t>ARSO</w:t>
      </w:r>
      <w:r w:rsidRPr="001E2FD9">
        <w:rPr>
          <w:lang w:val="nl-BE"/>
        </w:rPr>
        <w:t xml:space="preserve"> beveelt aan om </w:t>
      </w:r>
      <w:r w:rsidRPr="00F36388">
        <w:rPr>
          <w:b/>
          <w:bCs/>
          <w:lang w:val="nl-BE"/>
        </w:rPr>
        <w:t xml:space="preserve">nieuw </w:t>
      </w:r>
      <w:r w:rsidR="00F36388" w:rsidRPr="00F36388">
        <w:rPr>
          <w:b/>
          <w:bCs/>
          <w:lang w:val="nl-BE"/>
        </w:rPr>
        <w:t xml:space="preserve">voor inschakeling </w:t>
      </w:r>
      <w:r w:rsidRPr="00F36388">
        <w:rPr>
          <w:b/>
          <w:bCs/>
          <w:lang w:val="nl-BE"/>
        </w:rPr>
        <w:t>gemandateerde projecten zes maanden de tijd te geven om aan de verschillende vereisten te voldoen</w:t>
      </w:r>
      <w:r w:rsidRPr="001E2FD9">
        <w:rPr>
          <w:lang w:val="nl-BE"/>
        </w:rPr>
        <w:t>. Op dit moment moeten s</w:t>
      </w:r>
      <w:r w:rsidR="00F36388">
        <w:rPr>
          <w:lang w:val="nl-BE"/>
        </w:rPr>
        <w:t>tructuren</w:t>
      </w:r>
      <w:r w:rsidRPr="001E2FD9">
        <w:rPr>
          <w:lang w:val="nl-BE"/>
        </w:rPr>
        <w:t xml:space="preserve">, om een </w:t>
      </w:r>
      <w:r w:rsidR="00F36388">
        <w:rPr>
          <w:lang w:val="nl-BE"/>
        </w:rPr>
        <w:t>inschakelings</w:t>
      </w:r>
      <w:r w:rsidRPr="001E2FD9">
        <w:rPr>
          <w:lang w:val="nl-BE"/>
        </w:rPr>
        <w:t xml:space="preserve">mandaat </w:t>
      </w:r>
      <w:r w:rsidR="00F36388">
        <w:rPr>
          <w:lang w:val="nl-BE"/>
        </w:rPr>
        <w:t>aan te vragen</w:t>
      </w:r>
      <w:r w:rsidRPr="001E2FD9">
        <w:rPr>
          <w:lang w:val="nl-BE"/>
        </w:rPr>
        <w:t xml:space="preserve">, ten minste één VTE van </w:t>
      </w:r>
      <w:r w:rsidR="00F36388">
        <w:rPr>
          <w:lang w:val="nl-BE"/>
        </w:rPr>
        <w:t>het doelpubliek</w:t>
      </w:r>
      <w:r w:rsidRPr="001E2FD9">
        <w:rPr>
          <w:lang w:val="nl-BE"/>
        </w:rPr>
        <w:t xml:space="preserve"> en een halve VTE </w:t>
      </w:r>
      <w:r w:rsidR="00F36388">
        <w:rPr>
          <w:lang w:val="nl-BE"/>
        </w:rPr>
        <w:t>begeleider</w:t>
      </w:r>
      <w:r w:rsidRPr="001E2FD9">
        <w:rPr>
          <w:lang w:val="nl-BE"/>
        </w:rPr>
        <w:t xml:space="preserve"> </w:t>
      </w:r>
      <w:r w:rsidR="00F36388">
        <w:rPr>
          <w:lang w:val="nl-BE"/>
        </w:rPr>
        <w:t>in dienst hebben</w:t>
      </w:r>
      <w:r w:rsidRPr="001E2FD9">
        <w:rPr>
          <w:lang w:val="nl-BE"/>
        </w:rPr>
        <w:t xml:space="preserve">. </w:t>
      </w:r>
      <w:r w:rsidR="00F36388">
        <w:rPr>
          <w:lang w:val="nl-BE"/>
        </w:rPr>
        <w:t>Op het ogenblik waarop de M</w:t>
      </w:r>
      <w:r w:rsidRPr="001E2FD9">
        <w:rPr>
          <w:lang w:val="nl-BE"/>
        </w:rPr>
        <w:t xml:space="preserve">inister beslist om al dan niet een mandaat te verlenen, moeten de </w:t>
      </w:r>
      <w:r w:rsidR="00F36388">
        <w:rPr>
          <w:lang w:val="nl-BE"/>
        </w:rPr>
        <w:t>structuren</w:t>
      </w:r>
      <w:r w:rsidRPr="001E2FD9">
        <w:rPr>
          <w:lang w:val="nl-BE"/>
        </w:rPr>
        <w:t xml:space="preserve"> aantonen dat ze daadwerkelijk 4 </w:t>
      </w:r>
      <w:proofErr w:type="spellStart"/>
      <w:r w:rsidRPr="001E2FD9">
        <w:rPr>
          <w:lang w:val="nl-BE"/>
        </w:rPr>
        <w:t>VTE's</w:t>
      </w:r>
      <w:proofErr w:type="spellEnd"/>
      <w:r w:rsidRPr="001E2FD9">
        <w:rPr>
          <w:lang w:val="nl-BE"/>
        </w:rPr>
        <w:t xml:space="preserve"> van </w:t>
      </w:r>
      <w:r w:rsidR="00F36388">
        <w:rPr>
          <w:lang w:val="nl-BE"/>
        </w:rPr>
        <w:t>het doelpubliek</w:t>
      </w:r>
      <w:r w:rsidRPr="001E2FD9">
        <w:rPr>
          <w:lang w:val="nl-BE"/>
        </w:rPr>
        <w:t xml:space="preserve"> tewerkstellen. </w:t>
      </w:r>
      <w:r w:rsidRPr="006C1670">
        <w:rPr>
          <w:lang w:val="nl-BE"/>
        </w:rPr>
        <w:t xml:space="preserve">Dit proces </w:t>
      </w:r>
      <w:r w:rsidR="00F36388" w:rsidRPr="006C1670">
        <w:rPr>
          <w:lang w:val="nl-BE"/>
        </w:rPr>
        <w:t>brengt</w:t>
      </w:r>
      <w:r w:rsidRPr="006C1670">
        <w:rPr>
          <w:lang w:val="nl-BE"/>
        </w:rPr>
        <w:t xml:space="preserve"> verschillende problemen</w:t>
      </w:r>
      <w:r w:rsidR="00F36388" w:rsidRPr="006C1670">
        <w:rPr>
          <w:lang w:val="nl-BE"/>
        </w:rPr>
        <w:t xml:space="preserve"> mee</w:t>
      </w:r>
      <w:r w:rsidRPr="006C1670">
        <w:rPr>
          <w:lang w:val="nl-BE"/>
        </w:rPr>
        <w:t>.</w:t>
      </w:r>
    </w:p>
    <w:p w14:paraId="4981A574" w14:textId="67FB8B3E" w:rsidR="00F36388" w:rsidRPr="00F36388" w:rsidRDefault="00F36388" w:rsidP="00F36388">
      <w:pPr>
        <w:spacing w:line="276" w:lineRule="auto"/>
        <w:rPr>
          <w:lang w:val="nl-BE"/>
        </w:rPr>
      </w:pPr>
      <w:r w:rsidRPr="00F36388">
        <w:rPr>
          <w:lang w:val="nl-BE"/>
        </w:rPr>
        <w:t xml:space="preserve">Ten eerste </w:t>
      </w:r>
      <w:r w:rsidRPr="00AC7867">
        <w:rPr>
          <w:b/>
          <w:bCs/>
          <w:lang w:val="nl-BE"/>
        </w:rPr>
        <w:t>moeten de structuren voor de beslissing van de Minister op eigen kosten begeleidend personeel inhuren</w:t>
      </w:r>
      <w:r w:rsidRPr="00F36388">
        <w:rPr>
          <w:lang w:val="nl-BE"/>
        </w:rPr>
        <w:t xml:space="preserve">. Deze uitgaven worden gedaan zonder enige zekerheid dat ze later </w:t>
      </w:r>
      <w:r>
        <w:rPr>
          <w:lang w:val="nl-BE"/>
        </w:rPr>
        <w:t>een mandatering zullen bekomen</w:t>
      </w:r>
      <w:r w:rsidRPr="00F36388">
        <w:rPr>
          <w:lang w:val="nl-BE"/>
        </w:rPr>
        <w:t xml:space="preserve">, aangezien </w:t>
      </w:r>
      <w:r>
        <w:rPr>
          <w:lang w:val="nl-BE"/>
        </w:rPr>
        <w:t>de beslissing</w:t>
      </w:r>
      <w:r w:rsidRPr="00F36388">
        <w:rPr>
          <w:lang w:val="nl-BE"/>
        </w:rPr>
        <w:t xml:space="preserve"> van de </w:t>
      </w:r>
      <w:r>
        <w:rPr>
          <w:lang w:val="nl-BE"/>
        </w:rPr>
        <w:t>M</w:t>
      </w:r>
      <w:r w:rsidRPr="00F36388">
        <w:rPr>
          <w:lang w:val="nl-BE"/>
        </w:rPr>
        <w:t xml:space="preserve">inister nog niet is genomen. </w:t>
      </w:r>
      <w:r>
        <w:rPr>
          <w:lang w:val="nl-BE"/>
        </w:rPr>
        <w:t>Het</w:t>
      </w:r>
      <w:r w:rsidRPr="00F36388">
        <w:rPr>
          <w:lang w:val="nl-BE"/>
        </w:rPr>
        <w:t xml:space="preserve"> nemen van </w:t>
      </w:r>
      <w:r w:rsidRPr="00AC7867">
        <w:rPr>
          <w:b/>
          <w:bCs/>
          <w:lang w:val="nl-BE"/>
        </w:rPr>
        <w:t>dit risico kan verder gaan dan een "verstandig beheer"</w:t>
      </w:r>
      <w:r w:rsidR="0053172C">
        <w:rPr>
          <w:b/>
          <w:bCs/>
          <w:lang w:val="nl-BE"/>
        </w:rPr>
        <w:t>,</w:t>
      </w:r>
      <w:r w:rsidRPr="00AC7867">
        <w:rPr>
          <w:b/>
          <w:bCs/>
          <w:lang w:val="nl-BE"/>
        </w:rPr>
        <w:t xml:space="preserve"> en de ontwikkeling van de sector vertragen</w:t>
      </w:r>
      <w:r w:rsidRPr="00F36388">
        <w:rPr>
          <w:lang w:val="nl-BE"/>
        </w:rPr>
        <w:t>. D</w:t>
      </w:r>
      <w:r>
        <w:rPr>
          <w:lang w:val="nl-BE"/>
        </w:rPr>
        <w:t>e toekenning van een termijn laat toe om dit ri</w:t>
      </w:r>
      <w:r w:rsidRPr="00F36388">
        <w:rPr>
          <w:lang w:val="nl-BE"/>
        </w:rPr>
        <w:t xml:space="preserve">sico </w:t>
      </w:r>
      <w:r>
        <w:rPr>
          <w:lang w:val="nl-BE"/>
        </w:rPr>
        <w:t>te</w:t>
      </w:r>
      <w:r w:rsidRPr="00F36388">
        <w:rPr>
          <w:lang w:val="nl-BE"/>
        </w:rPr>
        <w:t xml:space="preserve"> verm</w:t>
      </w:r>
      <w:r>
        <w:rPr>
          <w:lang w:val="nl-BE"/>
        </w:rPr>
        <w:t>ij</w:t>
      </w:r>
      <w:r w:rsidRPr="00F36388">
        <w:rPr>
          <w:lang w:val="nl-BE"/>
        </w:rPr>
        <w:t xml:space="preserve">den en er </w:t>
      </w:r>
      <w:r w:rsidR="00AC7867">
        <w:rPr>
          <w:lang w:val="nl-BE"/>
        </w:rPr>
        <w:t xml:space="preserve">kan </w:t>
      </w:r>
      <w:r w:rsidRPr="00F36388">
        <w:rPr>
          <w:lang w:val="nl-BE"/>
        </w:rPr>
        <w:t xml:space="preserve">tegelijkertijd voor worden gezorgd dat de vrijgemaakte budgetten voor nieuwe projecten goed worden </w:t>
      </w:r>
      <w:r w:rsidR="00AC7867">
        <w:rPr>
          <w:lang w:val="nl-BE"/>
        </w:rPr>
        <w:t>besteed</w:t>
      </w:r>
      <w:r w:rsidRPr="00F36388">
        <w:rPr>
          <w:lang w:val="nl-BE"/>
        </w:rPr>
        <w:t xml:space="preserve">. </w:t>
      </w:r>
    </w:p>
    <w:p w14:paraId="2706C15C" w14:textId="32650E5C" w:rsidR="00F36388" w:rsidRPr="00AC7867" w:rsidRDefault="00F36388" w:rsidP="00F36388">
      <w:pPr>
        <w:spacing w:line="276" w:lineRule="auto"/>
        <w:rPr>
          <w:lang w:val="nl-BE"/>
        </w:rPr>
      </w:pPr>
      <w:r w:rsidRPr="00F36388">
        <w:rPr>
          <w:lang w:val="nl-BE"/>
        </w:rPr>
        <w:t xml:space="preserve">Ten tweede moeten de structuren voor </w:t>
      </w:r>
      <w:r w:rsidR="00AC7867">
        <w:rPr>
          <w:lang w:val="nl-BE"/>
        </w:rPr>
        <w:t>het begin</w:t>
      </w:r>
      <w:r w:rsidRPr="00F36388">
        <w:rPr>
          <w:lang w:val="nl-BE"/>
        </w:rPr>
        <w:t xml:space="preserve"> van het in</w:t>
      </w:r>
      <w:r w:rsidR="00AC7867">
        <w:rPr>
          <w:lang w:val="nl-BE"/>
        </w:rPr>
        <w:t>schakelings</w:t>
      </w:r>
      <w:r w:rsidRPr="00F36388">
        <w:rPr>
          <w:lang w:val="nl-BE"/>
        </w:rPr>
        <w:t xml:space="preserve">mandaat beschikken over werknemers uit </w:t>
      </w:r>
      <w:r w:rsidR="00AC7867">
        <w:rPr>
          <w:lang w:val="nl-BE"/>
        </w:rPr>
        <w:t>het doelpubliek</w:t>
      </w:r>
      <w:r w:rsidRPr="00F36388">
        <w:rPr>
          <w:lang w:val="nl-BE"/>
        </w:rPr>
        <w:t xml:space="preserve"> met een artikel 60-statu</w:t>
      </w:r>
      <w:r w:rsidR="00AC7867">
        <w:rPr>
          <w:lang w:val="nl-BE"/>
        </w:rPr>
        <w:t>ut.</w:t>
      </w:r>
      <w:r w:rsidRPr="00F36388">
        <w:rPr>
          <w:lang w:val="nl-BE"/>
        </w:rPr>
        <w:t xml:space="preserve"> </w:t>
      </w:r>
      <w:r w:rsidRPr="00AC7867">
        <w:rPr>
          <w:lang w:val="nl-BE"/>
        </w:rPr>
        <w:t>Dit leidt tot dezelfde ongelijkheden als hierboven vermeld.</w:t>
      </w:r>
    </w:p>
    <w:p w14:paraId="2923FEE2" w14:textId="078A8C60" w:rsidR="00B35BDA" w:rsidRPr="00107C39" w:rsidRDefault="00AC7867" w:rsidP="009729D6">
      <w:pPr>
        <w:pStyle w:val="Kop3"/>
        <w:rPr>
          <w:lang w:val="nl-BE"/>
        </w:rPr>
      </w:pPr>
      <w:r>
        <w:rPr>
          <w:lang w:val="nl-BE"/>
        </w:rPr>
        <w:t xml:space="preserve"> </w:t>
      </w:r>
      <w:r w:rsidR="00B35BDA" w:rsidRPr="00107C39">
        <w:rPr>
          <w:lang w:val="nl-BE"/>
        </w:rPr>
        <w:t>Art</w:t>
      </w:r>
      <w:r w:rsidR="00313642" w:rsidRPr="00107C39">
        <w:rPr>
          <w:lang w:val="nl-BE"/>
        </w:rPr>
        <w:t>i</w:t>
      </w:r>
      <w:r w:rsidR="00107C39" w:rsidRPr="00107C39">
        <w:rPr>
          <w:lang w:val="nl-BE"/>
        </w:rPr>
        <w:t>kel</w:t>
      </w:r>
      <w:r w:rsidR="00B35BDA" w:rsidRPr="00107C39">
        <w:rPr>
          <w:lang w:val="nl-BE"/>
        </w:rPr>
        <w:t xml:space="preserve"> 3</w:t>
      </w:r>
      <w:r w:rsidR="00313642" w:rsidRPr="00107C39">
        <w:rPr>
          <w:lang w:val="nl-BE"/>
        </w:rPr>
        <w:t>.</w:t>
      </w:r>
      <w:r w:rsidR="00B35BDA" w:rsidRPr="00107C39">
        <w:rPr>
          <w:lang w:val="nl-BE"/>
        </w:rPr>
        <w:t> </w:t>
      </w:r>
      <w:r w:rsidR="00107C39" w:rsidRPr="00107C39">
        <w:rPr>
          <w:lang w:val="nl-BE"/>
        </w:rPr>
        <w:t>–</w:t>
      </w:r>
      <w:r w:rsidR="00313642" w:rsidRPr="00107C39">
        <w:rPr>
          <w:lang w:val="nl-BE"/>
        </w:rPr>
        <w:t xml:space="preserve"> </w:t>
      </w:r>
      <w:r w:rsidR="00107C39" w:rsidRPr="00107C39">
        <w:rPr>
          <w:lang w:val="nl-BE"/>
        </w:rPr>
        <w:t>Behandeling van de mandaataa</w:t>
      </w:r>
      <w:r w:rsidR="00107C39">
        <w:rPr>
          <w:lang w:val="nl-BE"/>
        </w:rPr>
        <w:t>nvraag</w:t>
      </w:r>
      <w:r w:rsidR="00A30C79" w:rsidRPr="00107C39">
        <w:rPr>
          <w:lang w:val="nl-BE"/>
        </w:rPr>
        <w:t xml:space="preserve"> </w:t>
      </w:r>
    </w:p>
    <w:p w14:paraId="362FCF76" w14:textId="5AFFF441" w:rsidR="00AC7867" w:rsidRPr="00AC7867" w:rsidRDefault="00AC7867" w:rsidP="00AC7867">
      <w:pPr>
        <w:spacing w:line="276" w:lineRule="auto"/>
        <w:rPr>
          <w:lang w:val="nl-BE"/>
        </w:rPr>
      </w:pPr>
      <w:r w:rsidRPr="00AC7867">
        <w:rPr>
          <w:lang w:val="nl-BE"/>
        </w:rPr>
        <w:t xml:space="preserve">De </w:t>
      </w:r>
      <w:r>
        <w:rPr>
          <w:b/>
          <w:bCs/>
          <w:lang w:val="nl-BE"/>
        </w:rPr>
        <w:t>ARSO</w:t>
      </w:r>
      <w:r w:rsidRPr="00AC7867">
        <w:rPr>
          <w:lang w:val="nl-BE"/>
        </w:rPr>
        <w:t xml:space="preserve"> vraagt </w:t>
      </w:r>
      <w:r>
        <w:rPr>
          <w:lang w:val="nl-BE"/>
        </w:rPr>
        <w:t>om in</w:t>
      </w:r>
      <w:r w:rsidRPr="00AC7867">
        <w:rPr>
          <w:lang w:val="nl-BE"/>
        </w:rPr>
        <w:t xml:space="preserve"> het </w:t>
      </w:r>
      <w:r>
        <w:rPr>
          <w:lang w:val="nl-BE"/>
        </w:rPr>
        <w:t>besluit</w:t>
      </w:r>
      <w:r w:rsidRPr="00AC7867">
        <w:rPr>
          <w:lang w:val="nl-BE"/>
        </w:rPr>
        <w:t xml:space="preserve"> over het mandaat en de </w:t>
      </w:r>
      <w:r>
        <w:rPr>
          <w:lang w:val="nl-BE"/>
        </w:rPr>
        <w:t>compensatie</w:t>
      </w:r>
      <w:r w:rsidRPr="00AC7867">
        <w:rPr>
          <w:lang w:val="nl-BE"/>
        </w:rPr>
        <w:t xml:space="preserve"> van de </w:t>
      </w:r>
      <w:r>
        <w:rPr>
          <w:lang w:val="nl-BE"/>
        </w:rPr>
        <w:t>sociale inschakelings</w:t>
      </w:r>
      <w:r w:rsidRPr="00AC7867">
        <w:rPr>
          <w:lang w:val="nl-BE"/>
        </w:rPr>
        <w:t xml:space="preserve">ondernemingen </w:t>
      </w:r>
      <w:r>
        <w:rPr>
          <w:lang w:val="nl-BE"/>
        </w:rPr>
        <w:t>te</w:t>
      </w:r>
      <w:r w:rsidRPr="00AC7867">
        <w:rPr>
          <w:lang w:val="nl-BE"/>
        </w:rPr>
        <w:t xml:space="preserve"> voorzie</w:t>
      </w:r>
      <w:r>
        <w:rPr>
          <w:lang w:val="nl-BE"/>
        </w:rPr>
        <w:t>n</w:t>
      </w:r>
      <w:r w:rsidRPr="00AC7867">
        <w:rPr>
          <w:lang w:val="nl-BE"/>
        </w:rPr>
        <w:t xml:space="preserve"> in de mogelijkheid om de </w:t>
      </w:r>
      <w:r>
        <w:rPr>
          <w:lang w:val="nl-BE"/>
        </w:rPr>
        <w:t>sociale inschakelings</w:t>
      </w:r>
      <w:r w:rsidRPr="00AC7867">
        <w:rPr>
          <w:lang w:val="nl-BE"/>
        </w:rPr>
        <w:t>onderneming op eigen initiatief te horen tijdens de procedure voor de aanvraag of wijziging van het mandaat.</w:t>
      </w:r>
    </w:p>
    <w:p w14:paraId="4CBF8816" w14:textId="1F34267F" w:rsidR="00AC7867" w:rsidRPr="00AC7867" w:rsidRDefault="00AC7867" w:rsidP="00AC7867">
      <w:pPr>
        <w:spacing w:line="276" w:lineRule="auto"/>
        <w:rPr>
          <w:lang w:val="nl-BE"/>
        </w:rPr>
      </w:pPr>
      <w:r w:rsidRPr="00AC7867">
        <w:rPr>
          <w:lang w:val="nl-BE"/>
        </w:rPr>
        <w:t xml:space="preserve">De </w:t>
      </w:r>
      <w:r>
        <w:rPr>
          <w:b/>
          <w:bCs/>
          <w:lang w:val="nl-BE"/>
        </w:rPr>
        <w:t>ARSO</w:t>
      </w:r>
      <w:r w:rsidRPr="00AC7867">
        <w:rPr>
          <w:lang w:val="nl-BE"/>
        </w:rPr>
        <w:t xml:space="preserve"> stelt voor om </w:t>
      </w:r>
      <w:r w:rsidRPr="00AC7867">
        <w:rPr>
          <w:b/>
          <w:bCs/>
          <w:lang w:val="nl-BE"/>
        </w:rPr>
        <w:t>de budgetten van de voor inschakeling gemandateerde sociale ondernemingen veilig te stellen</w:t>
      </w:r>
      <w:r w:rsidRPr="00AC7867">
        <w:rPr>
          <w:lang w:val="nl-BE"/>
        </w:rPr>
        <w:t xml:space="preserve"> in artikel 3, § 5. Gedurende vele jaren was de verhoging van het globale budget </w:t>
      </w:r>
      <w:r>
        <w:rPr>
          <w:lang w:val="nl-BE"/>
        </w:rPr>
        <w:t xml:space="preserve">namelijk </w:t>
      </w:r>
      <w:r w:rsidRPr="00AC7867">
        <w:rPr>
          <w:lang w:val="nl-BE"/>
        </w:rPr>
        <w:t xml:space="preserve">onvoldoende om nieuwe projecten te </w:t>
      </w:r>
      <w:r>
        <w:rPr>
          <w:lang w:val="nl-BE"/>
        </w:rPr>
        <w:t>ont</w:t>
      </w:r>
      <w:r w:rsidRPr="00AC7867">
        <w:rPr>
          <w:lang w:val="nl-BE"/>
        </w:rPr>
        <w:t xml:space="preserve">vangen. Om nieuwe projecten te </w:t>
      </w:r>
      <w:r>
        <w:rPr>
          <w:lang w:val="nl-BE"/>
        </w:rPr>
        <w:t>erkennen</w:t>
      </w:r>
      <w:r w:rsidRPr="00AC7867">
        <w:rPr>
          <w:lang w:val="nl-BE"/>
        </w:rPr>
        <w:t xml:space="preserve">, kreeg elk project minder middelen dan het jaar voordien. </w:t>
      </w:r>
      <w:r>
        <w:rPr>
          <w:lang w:val="nl-BE"/>
        </w:rPr>
        <w:t>Indien</w:t>
      </w:r>
      <w:r w:rsidRPr="00AC7867">
        <w:rPr>
          <w:lang w:val="nl-BE"/>
        </w:rPr>
        <w:t xml:space="preserve"> de sector groeide, dan gebeurde dat via structuren die </w:t>
      </w:r>
      <w:r>
        <w:rPr>
          <w:lang w:val="nl-BE"/>
        </w:rPr>
        <w:t xml:space="preserve">vanuit </w:t>
      </w:r>
      <w:r w:rsidRPr="00AC7867">
        <w:rPr>
          <w:lang w:val="nl-BE"/>
        </w:rPr>
        <w:t xml:space="preserve">financieel </w:t>
      </w:r>
      <w:r>
        <w:rPr>
          <w:lang w:val="nl-BE"/>
        </w:rPr>
        <w:t xml:space="preserve">oogpunt </w:t>
      </w:r>
      <w:r w:rsidRPr="00AC7867">
        <w:rPr>
          <w:lang w:val="nl-BE"/>
        </w:rPr>
        <w:t xml:space="preserve">steeds kwetsbaarder werden. Helaas sluit het </w:t>
      </w:r>
      <w:r>
        <w:rPr>
          <w:lang w:val="nl-BE"/>
        </w:rPr>
        <w:t>besluit</w:t>
      </w:r>
      <w:r w:rsidRPr="00AC7867">
        <w:rPr>
          <w:lang w:val="nl-BE"/>
        </w:rPr>
        <w:t xml:space="preserve"> een </w:t>
      </w:r>
      <w:r>
        <w:rPr>
          <w:lang w:val="nl-BE"/>
        </w:rPr>
        <w:t xml:space="preserve">evolutie </w:t>
      </w:r>
      <w:r w:rsidRPr="00AC7867">
        <w:rPr>
          <w:lang w:val="nl-BE"/>
        </w:rPr>
        <w:t xml:space="preserve">in deze </w:t>
      </w:r>
      <w:r>
        <w:rPr>
          <w:lang w:val="nl-BE"/>
        </w:rPr>
        <w:t>zin</w:t>
      </w:r>
      <w:r w:rsidRPr="00AC7867">
        <w:rPr>
          <w:lang w:val="nl-BE"/>
        </w:rPr>
        <w:t xml:space="preserve"> niet uit.</w:t>
      </w:r>
    </w:p>
    <w:p w14:paraId="62DE973E" w14:textId="77777777" w:rsidR="00AC7867" w:rsidRPr="006C1670" w:rsidRDefault="00AC7867" w:rsidP="007257DA">
      <w:pPr>
        <w:spacing w:line="276" w:lineRule="auto"/>
        <w:rPr>
          <w:lang w:val="nl-BE"/>
        </w:rPr>
      </w:pPr>
    </w:p>
    <w:p w14:paraId="65998EB6" w14:textId="77777777" w:rsidR="00AC7867" w:rsidRPr="006C1670" w:rsidRDefault="00AC7867" w:rsidP="007257DA">
      <w:pPr>
        <w:spacing w:line="276" w:lineRule="auto"/>
        <w:rPr>
          <w:b/>
          <w:bCs/>
          <w:lang w:val="nl-BE"/>
        </w:rPr>
      </w:pPr>
    </w:p>
    <w:p w14:paraId="7CC12C07" w14:textId="1F2D1A90" w:rsidR="00AC7867" w:rsidRPr="00AC7867" w:rsidRDefault="00AC7867" w:rsidP="007257DA">
      <w:pPr>
        <w:spacing w:line="276" w:lineRule="auto"/>
        <w:rPr>
          <w:color w:val="FF0000"/>
          <w:lang w:val="nl-BE"/>
        </w:rPr>
      </w:pPr>
      <w:r w:rsidRPr="00AC7867">
        <w:rPr>
          <w:b/>
          <w:bCs/>
          <w:color w:val="FF0000"/>
          <w:lang w:val="nl-BE"/>
        </w:rPr>
        <w:lastRenderedPageBreak/>
        <w:t>Daarom acht de ARSO het noodzakelijk om aparte en specifieke enveloppes te voorzien voor de financiering van bestaande projecten, de ontwikkeling van deze projecten en de financiering van nieuwe projecten</w:t>
      </w:r>
      <w:r w:rsidRPr="00AC7867">
        <w:rPr>
          <w:color w:val="FF0000"/>
          <w:lang w:val="nl-BE"/>
        </w:rPr>
        <w:t>. D</w:t>
      </w:r>
      <w:r>
        <w:rPr>
          <w:color w:val="FF0000"/>
          <w:lang w:val="nl-BE"/>
        </w:rPr>
        <w:t>ez</w:t>
      </w:r>
      <w:r w:rsidRPr="00AC7867">
        <w:rPr>
          <w:color w:val="FF0000"/>
          <w:lang w:val="nl-BE"/>
        </w:rPr>
        <w:t>e enveloppe</w:t>
      </w:r>
      <w:r>
        <w:rPr>
          <w:color w:val="FF0000"/>
          <w:lang w:val="nl-BE"/>
        </w:rPr>
        <w:t>s</w:t>
      </w:r>
      <w:r w:rsidRPr="00AC7867">
        <w:rPr>
          <w:color w:val="FF0000"/>
          <w:lang w:val="nl-BE"/>
        </w:rPr>
        <w:t xml:space="preserve"> moeten zowel voor </w:t>
      </w:r>
      <w:r>
        <w:rPr>
          <w:color w:val="FF0000"/>
          <w:lang w:val="nl-BE"/>
        </w:rPr>
        <w:t xml:space="preserve">de </w:t>
      </w:r>
      <w:r w:rsidRPr="00AC7867">
        <w:rPr>
          <w:b/>
          <w:bCs/>
          <w:color w:val="FF0000"/>
          <w:lang w:val="nl-BE"/>
        </w:rPr>
        <w:t>mandatering</w:t>
      </w:r>
      <w:r w:rsidRPr="00AC7867">
        <w:rPr>
          <w:color w:val="FF0000"/>
          <w:lang w:val="nl-BE"/>
        </w:rPr>
        <w:t xml:space="preserve"> als voor </w:t>
      </w:r>
      <w:r>
        <w:rPr>
          <w:color w:val="FF0000"/>
          <w:lang w:val="nl-BE"/>
        </w:rPr>
        <w:t xml:space="preserve">de </w:t>
      </w:r>
      <w:r w:rsidRPr="00AC7867">
        <w:rPr>
          <w:b/>
          <w:bCs/>
          <w:color w:val="FF0000"/>
          <w:lang w:val="nl-BE"/>
        </w:rPr>
        <w:t>werkgelegenheidssteun</w:t>
      </w:r>
      <w:r w:rsidRPr="00AC7867">
        <w:rPr>
          <w:color w:val="FF0000"/>
          <w:lang w:val="nl-BE"/>
        </w:rPr>
        <w:t xml:space="preserve"> worden </w:t>
      </w:r>
      <w:r>
        <w:rPr>
          <w:color w:val="FF0000"/>
          <w:lang w:val="nl-BE"/>
        </w:rPr>
        <w:t>ingevoerd</w:t>
      </w:r>
      <w:r w:rsidRPr="00AC7867">
        <w:rPr>
          <w:color w:val="FF0000"/>
          <w:lang w:val="nl-BE"/>
        </w:rPr>
        <w:t xml:space="preserve">. Op deze manier steunt de </w:t>
      </w:r>
      <w:r>
        <w:rPr>
          <w:b/>
          <w:bCs/>
          <w:color w:val="FF0000"/>
          <w:lang w:val="nl-BE"/>
        </w:rPr>
        <w:t>ARSO</w:t>
      </w:r>
      <w:r w:rsidRPr="00AC7867">
        <w:rPr>
          <w:color w:val="FF0000"/>
          <w:lang w:val="nl-BE"/>
        </w:rPr>
        <w:t xml:space="preserve"> </w:t>
      </w:r>
      <w:r>
        <w:rPr>
          <w:color w:val="FF0000"/>
          <w:lang w:val="nl-BE"/>
        </w:rPr>
        <w:t>een</w:t>
      </w:r>
      <w:r w:rsidRPr="00AC7867">
        <w:rPr>
          <w:color w:val="FF0000"/>
          <w:lang w:val="nl-BE"/>
        </w:rPr>
        <w:t xml:space="preserve"> solide ontwikkeling van de sector.</w:t>
      </w:r>
    </w:p>
    <w:p w14:paraId="70F67D6E" w14:textId="45D35809" w:rsidR="00EA3256" w:rsidRPr="00107C39" w:rsidRDefault="00056E6C" w:rsidP="009729D6">
      <w:pPr>
        <w:pStyle w:val="Kop3"/>
        <w:rPr>
          <w:lang w:val="nl-BE"/>
        </w:rPr>
      </w:pPr>
      <w:r w:rsidRPr="00AC7867">
        <w:rPr>
          <w:lang w:val="nl-BE"/>
        </w:rPr>
        <w:t xml:space="preserve"> </w:t>
      </w:r>
      <w:r w:rsidR="00EA3256" w:rsidRPr="00107C39">
        <w:rPr>
          <w:lang w:val="nl-BE"/>
        </w:rPr>
        <w:t>Art</w:t>
      </w:r>
      <w:r w:rsidR="00313642" w:rsidRPr="00107C39">
        <w:rPr>
          <w:lang w:val="nl-BE"/>
        </w:rPr>
        <w:t>i</w:t>
      </w:r>
      <w:r w:rsidR="00107C39" w:rsidRPr="00107C39">
        <w:rPr>
          <w:lang w:val="nl-BE"/>
        </w:rPr>
        <w:t>kelen</w:t>
      </w:r>
      <w:r w:rsidR="00EA3256" w:rsidRPr="00107C39">
        <w:rPr>
          <w:lang w:val="nl-BE"/>
        </w:rPr>
        <w:t xml:space="preserve"> 6 </w:t>
      </w:r>
      <w:r w:rsidR="00107C39" w:rsidRPr="00107C39">
        <w:rPr>
          <w:lang w:val="nl-BE"/>
        </w:rPr>
        <w:t>tot</w:t>
      </w:r>
      <w:r w:rsidR="00313642" w:rsidRPr="00107C39">
        <w:rPr>
          <w:lang w:val="nl-BE"/>
        </w:rPr>
        <w:t xml:space="preserve"> </w:t>
      </w:r>
      <w:r w:rsidR="00EA3256" w:rsidRPr="00107C39">
        <w:rPr>
          <w:lang w:val="nl-BE"/>
        </w:rPr>
        <w:t>9</w:t>
      </w:r>
      <w:r w:rsidR="002912F6" w:rsidRPr="00107C39">
        <w:rPr>
          <w:lang w:val="nl-BE"/>
        </w:rPr>
        <w:t> </w:t>
      </w:r>
      <w:r w:rsidR="00107C39" w:rsidRPr="00107C39">
        <w:rPr>
          <w:lang w:val="nl-BE"/>
        </w:rPr>
        <w:t>–</w:t>
      </w:r>
      <w:r w:rsidR="00EA3256" w:rsidRPr="00107C39">
        <w:rPr>
          <w:lang w:val="nl-BE"/>
        </w:rPr>
        <w:t xml:space="preserve"> </w:t>
      </w:r>
      <w:r w:rsidR="00107C39" w:rsidRPr="00107C39">
        <w:rPr>
          <w:lang w:val="nl-BE"/>
        </w:rPr>
        <w:t>Mechanisme tot herzieni</w:t>
      </w:r>
      <w:r w:rsidR="00107C39">
        <w:rPr>
          <w:lang w:val="nl-BE"/>
        </w:rPr>
        <w:t>ng van het mandaat</w:t>
      </w:r>
    </w:p>
    <w:p w14:paraId="746398D4" w14:textId="60EF0F20" w:rsidR="000512ED" w:rsidRPr="000512ED" w:rsidRDefault="000512ED" w:rsidP="000512ED">
      <w:pPr>
        <w:spacing w:line="276" w:lineRule="auto"/>
        <w:rPr>
          <w:lang w:val="nl-BE"/>
        </w:rPr>
      </w:pPr>
      <w:r w:rsidRPr="000512ED">
        <w:rPr>
          <w:lang w:val="nl-BE"/>
        </w:rPr>
        <w:t xml:space="preserve">Dankzij het herzieningsmechanisme kan de </w:t>
      </w:r>
      <w:r w:rsidR="00445EB5">
        <w:rPr>
          <w:lang w:val="nl-BE"/>
        </w:rPr>
        <w:t xml:space="preserve">voor inschakeling gemandateerde </w:t>
      </w:r>
      <w:r w:rsidRPr="000512ED">
        <w:rPr>
          <w:lang w:val="nl-BE"/>
        </w:rPr>
        <w:t xml:space="preserve">sociale onderneming </w:t>
      </w:r>
      <w:r w:rsidRPr="00445EB5">
        <w:rPr>
          <w:b/>
          <w:bCs/>
          <w:lang w:val="nl-BE"/>
        </w:rPr>
        <w:t xml:space="preserve">haar project aanpassen aan </w:t>
      </w:r>
      <w:r w:rsidR="00445EB5" w:rsidRPr="00445EB5">
        <w:rPr>
          <w:b/>
          <w:bCs/>
          <w:lang w:val="nl-BE"/>
        </w:rPr>
        <w:t>het</w:t>
      </w:r>
      <w:r w:rsidRPr="00445EB5">
        <w:rPr>
          <w:b/>
          <w:bCs/>
          <w:lang w:val="nl-BE"/>
        </w:rPr>
        <w:t xml:space="preserve"> doelp</w:t>
      </w:r>
      <w:r w:rsidR="00445EB5" w:rsidRPr="00445EB5">
        <w:rPr>
          <w:b/>
          <w:bCs/>
          <w:lang w:val="nl-BE"/>
        </w:rPr>
        <w:t>ubliek dat</w:t>
      </w:r>
      <w:r w:rsidRPr="00445EB5">
        <w:rPr>
          <w:b/>
          <w:bCs/>
          <w:lang w:val="nl-BE"/>
        </w:rPr>
        <w:t xml:space="preserve"> wordt </w:t>
      </w:r>
      <w:r w:rsidR="00445EB5" w:rsidRPr="00445EB5">
        <w:rPr>
          <w:b/>
          <w:bCs/>
          <w:lang w:val="nl-BE"/>
        </w:rPr>
        <w:t>onthaald</w:t>
      </w:r>
      <w:r w:rsidRPr="000512ED">
        <w:rPr>
          <w:lang w:val="nl-BE"/>
        </w:rPr>
        <w:t xml:space="preserve">. </w:t>
      </w:r>
    </w:p>
    <w:p w14:paraId="2BEB04A3" w14:textId="7EFFC3A3" w:rsidR="000512ED" w:rsidRPr="00445EB5" w:rsidRDefault="00445EB5" w:rsidP="000512ED">
      <w:pPr>
        <w:spacing w:line="276" w:lineRule="auto"/>
        <w:rPr>
          <w:b/>
          <w:bCs/>
          <w:lang w:val="nl-BE"/>
        </w:rPr>
      </w:pPr>
      <w:r>
        <w:rPr>
          <w:lang w:val="nl-BE"/>
        </w:rPr>
        <w:t>Hiertoe moet de structuur</w:t>
      </w:r>
      <w:r w:rsidR="000512ED" w:rsidRPr="000512ED">
        <w:rPr>
          <w:lang w:val="nl-BE"/>
        </w:rPr>
        <w:t xml:space="preserve"> het bewijs leveren van een verandering </w:t>
      </w:r>
      <w:r>
        <w:rPr>
          <w:lang w:val="nl-BE"/>
        </w:rPr>
        <w:t>va</w:t>
      </w:r>
      <w:r w:rsidR="000512ED" w:rsidRPr="000512ED">
        <w:rPr>
          <w:lang w:val="nl-BE"/>
        </w:rPr>
        <w:t xml:space="preserve">n </w:t>
      </w:r>
      <w:r>
        <w:rPr>
          <w:lang w:val="nl-BE"/>
        </w:rPr>
        <w:t>het doelpubliek</w:t>
      </w:r>
      <w:r w:rsidR="000512ED" w:rsidRPr="000512ED">
        <w:rPr>
          <w:lang w:val="nl-BE"/>
        </w:rPr>
        <w:t xml:space="preserve"> over een periode van 12 maanden. Dit mechanisme houdt in dat </w:t>
      </w:r>
      <w:r>
        <w:rPr>
          <w:lang w:val="nl-BE"/>
        </w:rPr>
        <w:t>de structuur</w:t>
      </w:r>
      <w:r w:rsidR="000512ED" w:rsidRPr="000512ED">
        <w:rPr>
          <w:lang w:val="nl-BE"/>
        </w:rPr>
        <w:t xml:space="preserve"> de begeleiding </w:t>
      </w:r>
      <w:r w:rsidR="000512ED" w:rsidRPr="00445EB5">
        <w:rPr>
          <w:b/>
          <w:bCs/>
          <w:lang w:val="nl-BE"/>
        </w:rPr>
        <w:t>gedurende 2 of 3 jaar volledig op eigen kosten moet financieren</w:t>
      </w:r>
      <w:r w:rsidR="000512ED" w:rsidRPr="000512ED">
        <w:rPr>
          <w:lang w:val="nl-BE"/>
        </w:rPr>
        <w:t xml:space="preserve"> vooraleer eventueel een wijziging van haar in</w:t>
      </w:r>
      <w:r>
        <w:rPr>
          <w:lang w:val="nl-BE"/>
        </w:rPr>
        <w:t>schakelings</w:t>
      </w:r>
      <w:r w:rsidR="000512ED" w:rsidRPr="000512ED">
        <w:rPr>
          <w:lang w:val="nl-BE"/>
        </w:rPr>
        <w:t xml:space="preserve">mandaat </w:t>
      </w:r>
      <w:r>
        <w:rPr>
          <w:lang w:val="nl-BE"/>
        </w:rPr>
        <w:t>te</w:t>
      </w:r>
      <w:r w:rsidR="000512ED" w:rsidRPr="000512ED">
        <w:rPr>
          <w:lang w:val="nl-BE"/>
        </w:rPr>
        <w:t xml:space="preserve"> bekomen. </w:t>
      </w:r>
      <w:r>
        <w:rPr>
          <w:lang w:val="nl-BE"/>
        </w:rPr>
        <w:t>O</w:t>
      </w:r>
      <w:r w:rsidR="000512ED" w:rsidRPr="000512ED">
        <w:rPr>
          <w:lang w:val="nl-BE"/>
        </w:rPr>
        <w:t>m een herzien</w:t>
      </w:r>
      <w:r>
        <w:rPr>
          <w:lang w:val="nl-BE"/>
        </w:rPr>
        <w:t>ing van het man</w:t>
      </w:r>
      <w:r w:rsidR="000512ED" w:rsidRPr="000512ED">
        <w:rPr>
          <w:lang w:val="nl-BE"/>
        </w:rPr>
        <w:t xml:space="preserve">daat te </w:t>
      </w:r>
      <w:r>
        <w:rPr>
          <w:lang w:val="nl-BE"/>
        </w:rPr>
        <w:t>bekom</w:t>
      </w:r>
      <w:r w:rsidR="000512ED" w:rsidRPr="000512ED">
        <w:rPr>
          <w:lang w:val="nl-BE"/>
        </w:rPr>
        <w:t xml:space="preserve">en, </w:t>
      </w:r>
      <w:r>
        <w:rPr>
          <w:lang w:val="nl-BE"/>
        </w:rPr>
        <w:t xml:space="preserve">moet </w:t>
      </w:r>
      <w:r w:rsidR="000512ED" w:rsidRPr="000512ED">
        <w:rPr>
          <w:lang w:val="nl-BE"/>
        </w:rPr>
        <w:t xml:space="preserve">het aantal werknemers </w:t>
      </w:r>
      <w:r>
        <w:rPr>
          <w:lang w:val="nl-BE"/>
        </w:rPr>
        <w:t>van het doelpubliek bovendien</w:t>
      </w:r>
      <w:r w:rsidR="000512ED" w:rsidRPr="000512ED">
        <w:rPr>
          <w:lang w:val="nl-BE"/>
        </w:rPr>
        <w:t xml:space="preserve"> </w:t>
      </w:r>
      <w:r w:rsidR="0053172C">
        <w:rPr>
          <w:lang w:val="nl-BE"/>
        </w:rPr>
        <w:t xml:space="preserve">met </w:t>
      </w:r>
      <w:r>
        <w:rPr>
          <w:lang w:val="nl-BE"/>
        </w:rPr>
        <w:t>ten</w:t>
      </w:r>
      <w:r w:rsidR="000512ED" w:rsidRPr="000512ED">
        <w:rPr>
          <w:lang w:val="nl-BE"/>
        </w:rPr>
        <w:t xml:space="preserve"> minste 25% v</w:t>
      </w:r>
      <w:r>
        <w:rPr>
          <w:lang w:val="nl-BE"/>
        </w:rPr>
        <w:t>erschillen</w:t>
      </w:r>
      <w:r w:rsidR="000512ED" w:rsidRPr="000512ED">
        <w:rPr>
          <w:lang w:val="nl-BE"/>
        </w:rPr>
        <w:t xml:space="preserve">. </w:t>
      </w:r>
      <w:r w:rsidRPr="00445EB5">
        <w:rPr>
          <w:b/>
          <w:bCs/>
          <w:lang w:val="nl-BE"/>
        </w:rPr>
        <w:t>Onder de</w:t>
      </w:r>
      <w:r w:rsidR="000512ED" w:rsidRPr="00445EB5">
        <w:rPr>
          <w:b/>
          <w:bCs/>
          <w:lang w:val="nl-BE"/>
        </w:rPr>
        <w:t xml:space="preserve"> 25% </w:t>
      </w:r>
      <w:r w:rsidRPr="00445EB5">
        <w:rPr>
          <w:b/>
          <w:bCs/>
          <w:lang w:val="nl-BE"/>
        </w:rPr>
        <w:t>mag de omkadering</w:t>
      </w:r>
      <w:r w:rsidR="000512ED" w:rsidRPr="00445EB5">
        <w:rPr>
          <w:b/>
          <w:bCs/>
          <w:lang w:val="nl-BE"/>
        </w:rPr>
        <w:t xml:space="preserve"> niet worden gewijzigd.</w:t>
      </w:r>
    </w:p>
    <w:p w14:paraId="721DB25C" w14:textId="7D709B40" w:rsidR="000512ED" w:rsidRPr="000512ED" w:rsidRDefault="000512ED" w:rsidP="000512ED">
      <w:pPr>
        <w:spacing w:line="276" w:lineRule="auto"/>
        <w:rPr>
          <w:lang w:val="nl-BE"/>
        </w:rPr>
      </w:pPr>
      <w:r w:rsidRPr="000512ED">
        <w:rPr>
          <w:lang w:val="nl-BE"/>
        </w:rPr>
        <w:t xml:space="preserve">De </w:t>
      </w:r>
      <w:r w:rsidR="00445EB5">
        <w:rPr>
          <w:b/>
          <w:bCs/>
          <w:lang w:val="nl-BE"/>
        </w:rPr>
        <w:t>ARSO</w:t>
      </w:r>
      <w:r w:rsidRPr="000512ED">
        <w:rPr>
          <w:lang w:val="nl-BE"/>
        </w:rPr>
        <w:t xml:space="preserve"> dringt erop aan dat </w:t>
      </w:r>
      <w:r w:rsidRPr="00C47ABA">
        <w:rPr>
          <w:b/>
          <w:bCs/>
          <w:lang w:val="nl-BE"/>
        </w:rPr>
        <w:t>een ander mechanisme voor de wijziging van het in</w:t>
      </w:r>
      <w:r w:rsidR="00445EB5" w:rsidRPr="00C47ABA">
        <w:rPr>
          <w:b/>
          <w:bCs/>
          <w:lang w:val="nl-BE"/>
        </w:rPr>
        <w:t>schakelings</w:t>
      </w:r>
      <w:r w:rsidRPr="00C47ABA">
        <w:rPr>
          <w:b/>
          <w:bCs/>
          <w:lang w:val="nl-BE"/>
        </w:rPr>
        <w:t>programma wordt gecreëerd</w:t>
      </w:r>
      <w:r w:rsidRPr="000512ED">
        <w:rPr>
          <w:lang w:val="nl-BE"/>
        </w:rPr>
        <w:t xml:space="preserve">, dat </w:t>
      </w:r>
      <w:r w:rsidRPr="00C47ABA">
        <w:rPr>
          <w:b/>
          <w:bCs/>
          <w:lang w:val="nl-BE"/>
        </w:rPr>
        <w:t>minder financiële lasten</w:t>
      </w:r>
      <w:r w:rsidRPr="000512ED">
        <w:rPr>
          <w:lang w:val="nl-BE"/>
        </w:rPr>
        <w:t xml:space="preserve"> met zich meebrengt voor de </w:t>
      </w:r>
      <w:r w:rsidR="00C47ABA">
        <w:rPr>
          <w:lang w:val="nl-BE"/>
        </w:rPr>
        <w:t xml:space="preserve">voor inschakeling gemandateerde </w:t>
      </w:r>
      <w:r w:rsidRPr="000512ED">
        <w:rPr>
          <w:lang w:val="nl-BE"/>
        </w:rPr>
        <w:t xml:space="preserve">sociale ondernemingen en dat van toepassing zou zijn op een </w:t>
      </w:r>
      <w:r w:rsidRPr="00C47ABA">
        <w:rPr>
          <w:b/>
          <w:bCs/>
          <w:lang w:val="nl-BE"/>
        </w:rPr>
        <w:t>drempel die lager ligt dan de 25% die momenteel vereist is</w:t>
      </w:r>
      <w:r w:rsidRPr="000512ED">
        <w:rPr>
          <w:lang w:val="nl-BE"/>
        </w:rPr>
        <w:t xml:space="preserve">. Het is ook nodig om een vereenvoudigde aanvraagprocedure in te voeren voor </w:t>
      </w:r>
      <w:r w:rsidR="00C47ABA">
        <w:rPr>
          <w:lang w:val="nl-BE"/>
        </w:rPr>
        <w:t xml:space="preserve">een </w:t>
      </w:r>
      <w:r w:rsidRPr="000512ED">
        <w:rPr>
          <w:lang w:val="nl-BE"/>
        </w:rPr>
        <w:t>doel</w:t>
      </w:r>
      <w:r w:rsidR="00C47ABA">
        <w:rPr>
          <w:lang w:val="nl-BE"/>
        </w:rPr>
        <w:t>publiek</w:t>
      </w:r>
      <w:r w:rsidRPr="000512ED">
        <w:rPr>
          <w:lang w:val="nl-BE"/>
        </w:rPr>
        <w:t xml:space="preserve"> met ECOSOC-statuut via de ordonnantie van 23 juni 2017 betreffende </w:t>
      </w:r>
      <w:r w:rsidR="002B72CD">
        <w:rPr>
          <w:lang w:val="nl-BE"/>
        </w:rPr>
        <w:t xml:space="preserve">de </w:t>
      </w:r>
      <w:r w:rsidRPr="000512ED">
        <w:rPr>
          <w:lang w:val="nl-BE"/>
        </w:rPr>
        <w:t xml:space="preserve">werkgelegenheidssteun die </w:t>
      </w:r>
      <w:r w:rsidR="00C47ABA">
        <w:rPr>
          <w:lang w:val="nl-BE"/>
        </w:rPr>
        <w:t>beschikbaar</w:t>
      </w:r>
      <w:r w:rsidRPr="000512ED">
        <w:rPr>
          <w:lang w:val="nl-BE"/>
        </w:rPr>
        <w:t xml:space="preserve"> is in het Brussels Hoofdstedelijk Gewest (zie hierboven).</w:t>
      </w:r>
    </w:p>
    <w:p w14:paraId="279B2034" w14:textId="2761050F" w:rsidR="000512ED" w:rsidRPr="000512ED" w:rsidRDefault="000512ED" w:rsidP="000512ED">
      <w:pPr>
        <w:spacing w:line="276" w:lineRule="auto"/>
        <w:rPr>
          <w:lang w:val="nl-BE"/>
        </w:rPr>
      </w:pPr>
      <w:r w:rsidRPr="000512ED">
        <w:rPr>
          <w:lang w:val="nl-BE"/>
        </w:rPr>
        <w:t>D</w:t>
      </w:r>
      <w:r w:rsidR="00C47ABA">
        <w:rPr>
          <w:lang w:val="nl-BE"/>
        </w:rPr>
        <w:t xml:space="preserve">e </w:t>
      </w:r>
      <w:r w:rsidR="00C47ABA">
        <w:rPr>
          <w:b/>
          <w:bCs/>
          <w:lang w:val="nl-BE"/>
        </w:rPr>
        <w:t>ARSO</w:t>
      </w:r>
      <w:r w:rsidRPr="000512ED">
        <w:rPr>
          <w:lang w:val="nl-BE"/>
        </w:rPr>
        <w:t xml:space="preserve"> stelt </w:t>
      </w:r>
      <w:r w:rsidR="00C47ABA">
        <w:rPr>
          <w:lang w:val="nl-BE"/>
        </w:rPr>
        <w:t>bovendien voor</w:t>
      </w:r>
      <w:r w:rsidRPr="000512ED">
        <w:rPr>
          <w:lang w:val="nl-BE"/>
        </w:rPr>
        <w:t xml:space="preserve"> om </w:t>
      </w:r>
      <w:r w:rsidRPr="00C47ABA">
        <w:rPr>
          <w:b/>
          <w:bCs/>
          <w:lang w:val="nl-BE"/>
        </w:rPr>
        <w:t>artikel 7 te schrappen</w:t>
      </w:r>
      <w:r w:rsidRPr="000512ED">
        <w:rPr>
          <w:lang w:val="nl-BE"/>
        </w:rPr>
        <w:t xml:space="preserve"> aangezien de financiering van de </w:t>
      </w:r>
      <w:r w:rsidR="00C47ABA">
        <w:rPr>
          <w:lang w:val="nl-BE"/>
        </w:rPr>
        <w:t xml:space="preserve">voor inschakeling gemandateerde </w:t>
      </w:r>
      <w:r w:rsidRPr="000512ED">
        <w:rPr>
          <w:lang w:val="nl-BE"/>
        </w:rPr>
        <w:t xml:space="preserve">sociale economie naar beneden wordt bijgesteld wanneer het aantal </w:t>
      </w:r>
      <w:proofErr w:type="spellStart"/>
      <w:r w:rsidRPr="000512ED">
        <w:rPr>
          <w:lang w:val="nl-BE"/>
        </w:rPr>
        <w:t>VTE's</w:t>
      </w:r>
      <w:proofErr w:type="spellEnd"/>
      <w:r w:rsidRPr="000512ED">
        <w:rPr>
          <w:lang w:val="nl-BE"/>
        </w:rPr>
        <w:t xml:space="preserve"> van </w:t>
      </w:r>
      <w:r w:rsidR="00C47ABA">
        <w:rPr>
          <w:lang w:val="nl-BE"/>
        </w:rPr>
        <w:t>het doelpubliek</w:t>
      </w:r>
      <w:r w:rsidRPr="000512ED">
        <w:rPr>
          <w:lang w:val="nl-BE"/>
        </w:rPr>
        <w:t xml:space="preserve"> van het inschakelingsprogramma niet wordt bereikt.</w:t>
      </w:r>
    </w:p>
    <w:p w14:paraId="38B391EE" w14:textId="184CCBD8" w:rsidR="00147FC4" w:rsidRDefault="0053172C" w:rsidP="009729D6">
      <w:pPr>
        <w:pStyle w:val="Kop3"/>
      </w:pPr>
      <w:r>
        <w:t xml:space="preserve"> </w:t>
      </w:r>
      <w:proofErr w:type="spellStart"/>
      <w:r w:rsidR="00147FC4">
        <w:t>Art</w:t>
      </w:r>
      <w:r w:rsidR="006E6688">
        <w:t>i</w:t>
      </w:r>
      <w:r w:rsidR="00107C39">
        <w:t>kel</w:t>
      </w:r>
      <w:proofErr w:type="spellEnd"/>
      <w:r w:rsidR="00147FC4">
        <w:t xml:space="preserve"> 11</w:t>
      </w:r>
      <w:r w:rsidR="006E6688">
        <w:t>. -</w:t>
      </w:r>
      <w:r w:rsidR="00147FC4">
        <w:t xml:space="preserve"> </w:t>
      </w:r>
      <w:proofErr w:type="spellStart"/>
      <w:r w:rsidR="00107C39">
        <w:t>Compensatiemechanisme</w:t>
      </w:r>
      <w:proofErr w:type="spellEnd"/>
    </w:p>
    <w:p w14:paraId="3B49C458" w14:textId="2881F223" w:rsidR="00C47ABA" w:rsidRPr="00C47ABA" w:rsidRDefault="00C47ABA" w:rsidP="00147FC4">
      <w:pPr>
        <w:rPr>
          <w:lang w:val="nl-BE"/>
        </w:rPr>
      </w:pPr>
      <w:r w:rsidRPr="00C47ABA">
        <w:rPr>
          <w:lang w:val="nl-BE"/>
        </w:rPr>
        <w:t xml:space="preserve">De </w:t>
      </w:r>
      <w:r>
        <w:rPr>
          <w:b/>
          <w:bCs/>
          <w:lang w:val="nl-BE"/>
        </w:rPr>
        <w:t>ARSO</w:t>
      </w:r>
      <w:r w:rsidRPr="00C47ABA">
        <w:rPr>
          <w:lang w:val="nl-BE"/>
        </w:rPr>
        <w:t xml:space="preserve"> zal de kwestie van </w:t>
      </w:r>
      <w:r>
        <w:rPr>
          <w:lang w:val="nl-BE"/>
        </w:rPr>
        <w:t xml:space="preserve">de </w:t>
      </w:r>
      <w:r w:rsidRPr="00C47ABA">
        <w:rPr>
          <w:lang w:val="nl-BE"/>
        </w:rPr>
        <w:t>forfaitaire bedragen in een volgend initiatiefadvies behandelen.</w:t>
      </w:r>
    </w:p>
    <w:p w14:paraId="7773C07F" w14:textId="569F53B2" w:rsidR="003226CF" w:rsidRDefault="003226CF" w:rsidP="009729D6">
      <w:pPr>
        <w:pStyle w:val="Kop3"/>
      </w:pPr>
      <w:r w:rsidRPr="00C47ABA">
        <w:rPr>
          <w:lang w:val="nl-BE"/>
        </w:rPr>
        <w:t xml:space="preserve"> </w:t>
      </w:r>
      <w:proofErr w:type="spellStart"/>
      <w:r>
        <w:t>Art</w:t>
      </w:r>
      <w:r w:rsidR="006E6688">
        <w:t>i</w:t>
      </w:r>
      <w:r w:rsidR="00107C39">
        <w:t>kel</w:t>
      </w:r>
      <w:proofErr w:type="spellEnd"/>
      <w:r>
        <w:t xml:space="preserve"> 12</w:t>
      </w:r>
      <w:r w:rsidR="006E6688">
        <w:t>.</w:t>
      </w:r>
      <w:r>
        <w:t xml:space="preserve"> § 2</w:t>
      </w:r>
      <w:r w:rsidR="00975D35">
        <w:t xml:space="preserve"> – </w:t>
      </w:r>
      <w:proofErr w:type="spellStart"/>
      <w:r w:rsidR="00107C39">
        <w:t>Vereffening</w:t>
      </w:r>
      <w:proofErr w:type="spellEnd"/>
      <w:r w:rsidR="00107C39">
        <w:t xml:space="preserve"> van de </w:t>
      </w:r>
      <w:proofErr w:type="spellStart"/>
      <w:r w:rsidR="00975D35">
        <w:t>compensati</w:t>
      </w:r>
      <w:r w:rsidR="00107C39">
        <w:t>e</w:t>
      </w:r>
      <w:proofErr w:type="spellEnd"/>
    </w:p>
    <w:p w14:paraId="4A1293B1" w14:textId="66B0FF27" w:rsidR="00C47ABA" w:rsidRPr="00C47ABA" w:rsidRDefault="00C47ABA" w:rsidP="00C47ABA">
      <w:pPr>
        <w:spacing w:line="276" w:lineRule="auto"/>
        <w:rPr>
          <w:lang w:val="nl-BE"/>
        </w:rPr>
      </w:pPr>
      <w:r w:rsidRPr="00C47ABA">
        <w:rPr>
          <w:lang w:val="nl-BE"/>
        </w:rPr>
        <w:t xml:space="preserve">De </w:t>
      </w:r>
      <w:r>
        <w:rPr>
          <w:b/>
          <w:bCs/>
          <w:lang w:val="nl-BE"/>
        </w:rPr>
        <w:t>ARSO</w:t>
      </w:r>
      <w:r w:rsidRPr="00C47ABA">
        <w:rPr>
          <w:lang w:val="nl-BE"/>
        </w:rPr>
        <w:t xml:space="preserve"> wenst in het </w:t>
      </w:r>
      <w:r>
        <w:rPr>
          <w:lang w:val="nl-BE"/>
        </w:rPr>
        <w:t>beslui</w:t>
      </w:r>
      <w:r w:rsidRPr="00C47ABA">
        <w:rPr>
          <w:lang w:val="nl-BE"/>
        </w:rPr>
        <w:t xml:space="preserve">t het </w:t>
      </w:r>
      <w:r w:rsidRPr="00C47ABA">
        <w:rPr>
          <w:b/>
          <w:bCs/>
          <w:lang w:val="nl-BE"/>
        </w:rPr>
        <w:t>tijdschema voor de uitbetaling</w:t>
      </w:r>
      <w:r w:rsidRPr="00C47ABA">
        <w:rPr>
          <w:lang w:val="nl-BE"/>
        </w:rPr>
        <w:t xml:space="preserve"> van de twee </w:t>
      </w:r>
      <w:r>
        <w:rPr>
          <w:lang w:val="nl-BE"/>
        </w:rPr>
        <w:t>schijven</w:t>
      </w:r>
      <w:r w:rsidRPr="00C47ABA">
        <w:rPr>
          <w:lang w:val="nl-BE"/>
        </w:rPr>
        <w:t xml:space="preserve"> te preciseren. </w:t>
      </w:r>
      <w:r w:rsidRPr="00C47ABA">
        <w:rPr>
          <w:b/>
          <w:bCs/>
          <w:lang w:val="nl-BE"/>
        </w:rPr>
        <w:t>De eerste schijf</w:t>
      </w:r>
      <w:r w:rsidRPr="00C47ABA">
        <w:rPr>
          <w:lang w:val="nl-BE"/>
        </w:rPr>
        <w:t xml:space="preserve">, </w:t>
      </w:r>
      <w:r>
        <w:rPr>
          <w:lang w:val="nl-BE"/>
        </w:rPr>
        <w:t xml:space="preserve">die </w:t>
      </w:r>
      <w:r w:rsidRPr="00C47ABA">
        <w:rPr>
          <w:lang w:val="nl-BE"/>
        </w:rPr>
        <w:t xml:space="preserve">gelijk </w:t>
      </w:r>
      <w:r>
        <w:rPr>
          <w:lang w:val="nl-BE"/>
        </w:rPr>
        <w:t xml:space="preserve">is </w:t>
      </w:r>
      <w:r w:rsidRPr="00C47ABA">
        <w:rPr>
          <w:lang w:val="nl-BE"/>
        </w:rPr>
        <w:t xml:space="preserve">aan 80% van de financiering voor het lopende jaar (jaar N), </w:t>
      </w:r>
      <w:r w:rsidRPr="00C47ABA">
        <w:rPr>
          <w:b/>
          <w:bCs/>
          <w:lang w:val="nl-BE"/>
        </w:rPr>
        <w:t>zou vóór het einde van het eerste kwartaal van het lopende jaar (jaar N) moeten worden uitbetaald</w:t>
      </w:r>
      <w:r w:rsidRPr="00C47ABA">
        <w:rPr>
          <w:lang w:val="nl-BE"/>
        </w:rPr>
        <w:t xml:space="preserve">. De tweede </w:t>
      </w:r>
      <w:r>
        <w:rPr>
          <w:lang w:val="nl-BE"/>
        </w:rPr>
        <w:t>schijf</w:t>
      </w:r>
      <w:r w:rsidRPr="00C47ABA">
        <w:rPr>
          <w:lang w:val="nl-BE"/>
        </w:rPr>
        <w:t xml:space="preserve">, </w:t>
      </w:r>
      <w:r>
        <w:rPr>
          <w:lang w:val="nl-BE"/>
        </w:rPr>
        <w:t xml:space="preserve">die </w:t>
      </w:r>
      <w:r w:rsidRPr="00C47ABA">
        <w:rPr>
          <w:lang w:val="nl-BE"/>
        </w:rPr>
        <w:t>gelijk</w:t>
      </w:r>
      <w:r>
        <w:rPr>
          <w:lang w:val="nl-BE"/>
        </w:rPr>
        <w:t xml:space="preserve"> is</w:t>
      </w:r>
      <w:r w:rsidRPr="00C47ABA">
        <w:rPr>
          <w:lang w:val="nl-BE"/>
        </w:rPr>
        <w:t xml:space="preserve"> aan het </w:t>
      </w:r>
      <w:r w:rsidRPr="00C47ABA">
        <w:rPr>
          <w:b/>
          <w:bCs/>
          <w:lang w:val="nl-BE"/>
        </w:rPr>
        <w:t>saldo</w:t>
      </w:r>
      <w:r w:rsidRPr="00C47ABA">
        <w:rPr>
          <w:lang w:val="nl-BE"/>
        </w:rPr>
        <w:t xml:space="preserve"> van het voorgaande jaar (jaar N-1), </w:t>
      </w:r>
      <w:r>
        <w:rPr>
          <w:lang w:val="nl-BE"/>
        </w:rPr>
        <w:t>zou</w:t>
      </w:r>
      <w:r w:rsidRPr="00C47ABA">
        <w:rPr>
          <w:lang w:val="nl-BE"/>
        </w:rPr>
        <w:t xml:space="preserve"> </w:t>
      </w:r>
      <w:r w:rsidRPr="00C47ABA">
        <w:rPr>
          <w:b/>
          <w:bCs/>
          <w:lang w:val="nl-BE"/>
        </w:rPr>
        <w:t>voor het einde van het eerste semester van het volgende jaar</w:t>
      </w:r>
      <w:r w:rsidRPr="00C47ABA">
        <w:rPr>
          <w:lang w:val="nl-BE"/>
        </w:rPr>
        <w:t xml:space="preserve"> (jaar N) worden </w:t>
      </w:r>
      <w:r>
        <w:rPr>
          <w:lang w:val="nl-BE"/>
        </w:rPr>
        <w:t>gestort</w:t>
      </w:r>
      <w:r w:rsidRPr="00C47ABA">
        <w:rPr>
          <w:lang w:val="nl-BE"/>
        </w:rPr>
        <w:t>.</w:t>
      </w:r>
    </w:p>
    <w:p w14:paraId="64D5C735" w14:textId="40A90E32" w:rsidR="00C47ABA" w:rsidRPr="00C47ABA" w:rsidRDefault="00C47ABA" w:rsidP="00C47ABA">
      <w:pPr>
        <w:spacing w:line="276" w:lineRule="auto"/>
        <w:rPr>
          <w:lang w:val="nl-BE"/>
        </w:rPr>
      </w:pPr>
      <w:r w:rsidRPr="00C47ABA">
        <w:rPr>
          <w:lang w:val="nl-BE"/>
        </w:rPr>
        <w:t xml:space="preserve">De </w:t>
      </w:r>
      <w:r w:rsidRPr="00C47ABA">
        <w:rPr>
          <w:b/>
          <w:bCs/>
          <w:lang w:val="nl-BE"/>
        </w:rPr>
        <w:t>ARSO</w:t>
      </w:r>
      <w:r w:rsidRPr="00C47ABA">
        <w:rPr>
          <w:lang w:val="nl-BE"/>
        </w:rPr>
        <w:t xml:space="preserve"> </w:t>
      </w:r>
      <w:r>
        <w:rPr>
          <w:lang w:val="nl-BE"/>
        </w:rPr>
        <w:t>vraagt tevens</w:t>
      </w:r>
      <w:r w:rsidRPr="00C47ABA">
        <w:rPr>
          <w:lang w:val="nl-BE"/>
        </w:rPr>
        <w:t xml:space="preserve"> om </w:t>
      </w:r>
      <w:r w:rsidRPr="00C47ABA">
        <w:rPr>
          <w:b/>
          <w:bCs/>
          <w:lang w:val="nl-BE"/>
        </w:rPr>
        <w:t>de datum voor de indiening van de bewijsstukken bedoeld in artikel 12, §2, 2°, te verdagen</w:t>
      </w:r>
      <w:r w:rsidRPr="00C47ABA">
        <w:rPr>
          <w:lang w:val="nl-BE"/>
        </w:rPr>
        <w:t xml:space="preserve">. Deze is momenteel vastgesteld op 15 februari van het jaar N+1. Vele facturen zijn echter nog niet ontvangen, waaronder facturen </w:t>
      </w:r>
      <w:r w:rsidR="002B72CD">
        <w:rPr>
          <w:lang w:val="nl-BE"/>
        </w:rPr>
        <w:t>inzake</w:t>
      </w:r>
      <w:r w:rsidRPr="00C47ABA">
        <w:rPr>
          <w:lang w:val="nl-BE"/>
        </w:rPr>
        <w:t xml:space="preserve"> energie</w:t>
      </w:r>
      <w:r>
        <w:rPr>
          <w:lang w:val="nl-BE"/>
        </w:rPr>
        <w:t>regularisatie</w:t>
      </w:r>
      <w:r w:rsidRPr="00C47ABA">
        <w:rPr>
          <w:lang w:val="nl-BE"/>
        </w:rPr>
        <w:t xml:space="preserve">. Hetzelfde geldt voor </w:t>
      </w:r>
      <w:r>
        <w:rPr>
          <w:lang w:val="nl-BE"/>
        </w:rPr>
        <w:t xml:space="preserve">de </w:t>
      </w:r>
      <w:r w:rsidRPr="00C47ABA">
        <w:rPr>
          <w:lang w:val="nl-BE"/>
        </w:rPr>
        <w:t xml:space="preserve">individuele afrekeningen. Dit zorgt voor </w:t>
      </w:r>
      <w:r>
        <w:rPr>
          <w:lang w:val="nl-BE"/>
        </w:rPr>
        <w:t xml:space="preserve">een </w:t>
      </w:r>
      <w:r w:rsidRPr="00C47ABA">
        <w:rPr>
          <w:lang w:val="nl-BE"/>
        </w:rPr>
        <w:t xml:space="preserve">administratieve complexiteit en extra werk, aangezien de dossiers op een later tijdstip moeten worden gecorrigeerd. Daarom stelt de </w:t>
      </w:r>
      <w:r>
        <w:rPr>
          <w:b/>
          <w:bCs/>
          <w:lang w:val="nl-BE"/>
        </w:rPr>
        <w:t>ARSO</w:t>
      </w:r>
      <w:r w:rsidRPr="00C47ABA">
        <w:rPr>
          <w:lang w:val="nl-BE"/>
        </w:rPr>
        <w:t xml:space="preserve"> voor om </w:t>
      </w:r>
      <w:r w:rsidRPr="00C47ABA">
        <w:rPr>
          <w:b/>
          <w:bCs/>
          <w:lang w:val="nl-BE"/>
        </w:rPr>
        <w:t>de datum voor het indienen van bewijsstukken vast te stellen op 31 maart van het volgende jaar</w:t>
      </w:r>
      <w:r w:rsidRPr="00C47ABA">
        <w:rPr>
          <w:lang w:val="nl-BE"/>
        </w:rPr>
        <w:t>.</w:t>
      </w:r>
    </w:p>
    <w:p w14:paraId="3FA03A68" w14:textId="3C12CE6A" w:rsidR="00C47ABA" w:rsidRPr="006C1670" w:rsidRDefault="001D4AFA" w:rsidP="00422784">
      <w:pPr>
        <w:spacing w:line="276" w:lineRule="auto"/>
        <w:rPr>
          <w:color w:val="FF0000"/>
          <w:lang w:val="nl-BE"/>
        </w:rPr>
      </w:pPr>
      <w:r w:rsidRPr="001D4AFA">
        <w:rPr>
          <w:lang w:val="nl-BE"/>
        </w:rPr>
        <w:lastRenderedPageBreak/>
        <w:t>Er is een verband tussen de ver</w:t>
      </w:r>
      <w:r>
        <w:rPr>
          <w:lang w:val="nl-BE"/>
        </w:rPr>
        <w:t>dag</w:t>
      </w:r>
      <w:r w:rsidRPr="001D4AFA">
        <w:rPr>
          <w:lang w:val="nl-BE"/>
        </w:rPr>
        <w:t>ing van de datum v</w:t>
      </w:r>
      <w:r>
        <w:rPr>
          <w:lang w:val="nl-BE"/>
        </w:rPr>
        <w:t>oor</w:t>
      </w:r>
      <w:r w:rsidRPr="001D4AFA">
        <w:rPr>
          <w:lang w:val="nl-BE"/>
        </w:rPr>
        <w:t xml:space="preserve"> de bewijsstukken en de datum v</w:t>
      </w:r>
      <w:r>
        <w:rPr>
          <w:lang w:val="nl-BE"/>
        </w:rPr>
        <w:t>oor de uit</w:t>
      </w:r>
      <w:r w:rsidRPr="001D4AFA">
        <w:rPr>
          <w:lang w:val="nl-BE"/>
        </w:rPr>
        <w:t xml:space="preserve">betaling van het saldo. </w:t>
      </w:r>
      <w:r>
        <w:rPr>
          <w:lang w:val="nl-BE"/>
        </w:rPr>
        <w:t xml:space="preserve">De </w:t>
      </w:r>
      <w:r w:rsidRPr="001D4AFA">
        <w:rPr>
          <w:b/>
          <w:bCs/>
          <w:lang w:val="nl-BE"/>
        </w:rPr>
        <w:t>ARSO</w:t>
      </w:r>
      <w:r w:rsidRPr="001D4AFA">
        <w:rPr>
          <w:lang w:val="nl-BE"/>
        </w:rPr>
        <w:t xml:space="preserve"> heeft begrip voor de moeilijkheden die </w:t>
      </w:r>
      <w:r>
        <w:rPr>
          <w:lang w:val="nl-BE"/>
        </w:rPr>
        <w:t>het Bestuur</w:t>
      </w:r>
      <w:r w:rsidRPr="001D4AFA">
        <w:rPr>
          <w:lang w:val="nl-BE"/>
        </w:rPr>
        <w:t xml:space="preserve"> (</w:t>
      </w:r>
      <w:r>
        <w:rPr>
          <w:lang w:val="nl-BE"/>
        </w:rPr>
        <w:t>BEW</w:t>
      </w:r>
      <w:r w:rsidRPr="001D4AFA">
        <w:rPr>
          <w:lang w:val="nl-BE"/>
        </w:rPr>
        <w:t xml:space="preserve">) ondervindt om deze termijnen na te leven. </w:t>
      </w:r>
      <w:r>
        <w:rPr>
          <w:lang w:val="nl-BE"/>
        </w:rPr>
        <w:t xml:space="preserve">De </w:t>
      </w:r>
      <w:r w:rsidRPr="001D4AFA">
        <w:rPr>
          <w:b/>
          <w:bCs/>
          <w:lang w:val="nl-BE"/>
        </w:rPr>
        <w:t>ARSO</w:t>
      </w:r>
      <w:r w:rsidRPr="001D4AFA">
        <w:rPr>
          <w:lang w:val="nl-BE"/>
        </w:rPr>
        <w:t xml:space="preserve"> geeft voorrang aan de ver</w:t>
      </w:r>
      <w:r>
        <w:rPr>
          <w:lang w:val="nl-BE"/>
        </w:rPr>
        <w:t>dag</w:t>
      </w:r>
      <w:r w:rsidRPr="001D4AFA">
        <w:rPr>
          <w:lang w:val="nl-BE"/>
        </w:rPr>
        <w:t>ing van de datum v</w:t>
      </w:r>
      <w:r>
        <w:rPr>
          <w:lang w:val="nl-BE"/>
        </w:rPr>
        <w:t>oor de</w:t>
      </w:r>
      <w:r w:rsidRPr="001D4AFA">
        <w:rPr>
          <w:lang w:val="nl-BE"/>
        </w:rPr>
        <w:t xml:space="preserve"> indiening van de bewijsstukken naar 31 maart van het volgende jaar en verdedigt </w:t>
      </w:r>
      <w:r w:rsidRPr="006C1670">
        <w:rPr>
          <w:color w:val="FF0000"/>
          <w:lang w:val="nl-BE"/>
        </w:rPr>
        <w:t>een versterking van het Bestuur.</w:t>
      </w:r>
    </w:p>
    <w:p w14:paraId="3B5B25D0" w14:textId="45D8C7BF" w:rsidR="001500A3" w:rsidRPr="00107C39" w:rsidRDefault="003226CF" w:rsidP="009729D6">
      <w:pPr>
        <w:pStyle w:val="Kop3"/>
        <w:rPr>
          <w:lang w:val="nl-BE"/>
        </w:rPr>
      </w:pPr>
      <w:r w:rsidRPr="001D4AFA">
        <w:rPr>
          <w:lang w:val="nl-BE"/>
        </w:rPr>
        <w:t xml:space="preserve"> </w:t>
      </w:r>
      <w:r w:rsidR="001500A3" w:rsidRPr="00E82D84">
        <w:rPr>
          <w:lang w:val="nl-BE"/>
        </w:rPr>
        <w:t>Art</w:t>
      </w:r>
      <w:r w:rsidR="006E6688" w:rsidRPr="00E82D84">
        <w:rPr>
          <w:lang w:val="nl-BE"/>
        </w:rPr>
        <w:t>i</w:t>
      </w:r>
      <w:r w:rsidR="00107C39" w:rsidRPr="00E82D84">
        <w:rPr>
          <w:lang w:val="nl-BE"/>
        </w:rPr>
        <w:t>kel</w:t>
      </w:r>
      <w:r w:rsidR="001500A3" w:rsidRPr="00E82D84">
        <w:rPr>
          <w:lang w:val="nl-BE"/>
        </w:rPr>
        <w:t xml:space="preserve"> 12</w:t>
      </w:r>
      <w:r w:rsidR="006E6688" w:rsidRPr="00E82D84">
        <w:rPr>
          <w:lang w:val="nl-BE"/>
        </w:rPr>
        <w:t>.</w:t>
      </w:r>
      <w:r w:rsidR="001500A3" w:rsidRPr="00E82D84">
        <w:rPr>
          <w:lang w:val="nl-BE"/>
        </w:rPr>
        <w:t xml:space="preserve"> §</w:t>
      </w:r>
      <w:r w:rsidR="007E4858" w:rsidRPr="00E82D84">
        <w:rPr>
          <w:lang w:val="nl-BE"/>
        </w:rPr>
        <w:t xml:space="preserve"> </w:t>
      </w:r>
      <w:r w:rsidR="001500A3" w:rsidRPr="00E82D84">
        <w:rPr>
          <w:lang w:val="nl-BE"/>
        </w:rPr>
        <w:t>3</w:t>
      </w:r>
      <w:r w:rsidR="00A44AF2" w:rsidRPr="00E82D84">
        <w:rPr>
          <w:lang w:val="nl-BE"/>
        </w:rPr>
        <w:t xml:space="preserve"> </w:t>
      </w:r>
      <w:r w:rsidR="00A44AF2" w:rsidRPr="00E82D84">
        <w:rPr>
          <w:color w:val="FF0000"/>
          <w:lang w:val="nl-BE"/>
        </w:rPr>
        <w:t>e</w:t>
      </w:r>
      <w:r w:rsidR="00107C39" w:rsidRPr="00E82D84">
        <w:rPr>
          <w:color w:val="FF0000"/>
          <w:lang w:val="nl-BE"/>
        </w:rPr>
        <w:t>n</w:t>
      </w:r>
      <w:r w:rsidR="00A44AF2" w:rsidRPr="00E82D84">
        <w:rPr>
          <w:color w:val="FF0000"/>
          <w:lang w:val="nl-BE"/>
        </w:rPr>
        <w:t xml:space="preserve"> Art</w:t>
      </w:r>
      <w:r w:rsidR="006E6688" w:rsidRPr="00E82D84">
        <w:rPr>
          <w:color w:val="FF0000"/>
          <w:lang w:val="nl-BE"/>
        </w:rPr>
        <w:t>i</w:t>
      </w:r>
      <w:r w:rsidR="00107C39" w:rsidRPr="00E82D84">
        <w:rPr>
          <w:color w:val="FF0000"/>
          <w:lang w:val="nl-BE"/>
        </w:rPr>
        <w:t>kel</w:t>
      </w:r>
      <w:r w:rsidR="00A44AF2" w:rsidRPr="00E82D84">
        <w:rPr>
          <w:color w:val="FF0000"/>
          <w:lang w:val="nl-BE"/>
        </w:rPr>
        <w:t xml:space="preserve"> 13</w:t>
      </w:r>
      <w:r w:rsidR="006E6688" w:rsidRPr="00E82D84">
        <w:rPr>
          <w:color w:val="FF0000"/>
          <w:lang w:val="nl-BE"/>
        </w:rPr>
        <w:t>.</w:t>
      </w:r>
      <w:r w:rsidR="00A44AF2" w:rsidRPr="00E82D84">
        <w:rPr>
          <w:color w:val="FF0000"/>
          <w:lang w:val="nl-BE"/>
        </w:rPr>
        <w:t xml:space="preserve"> </w:t>
      </w:r>
      <w:r w:rsidR="00A44AF2" w:rsidRPr="00107C39">
        <w:rPr>
          <w:color w:val="FF0000"/>
          <w:lang w:val="nl-BE"/>
        </w:rPr>
        <w:t>§ 2</w:t>
      </w:r>
      <w:r w:rsidR="00975D35" w:rsidRPr="00107C39">
        <w:rPr>
          <w:color w:val="FF0000"/>
          <w:lang w:val="nl-BE"/>
        </w:rPr>
        <w:t xml:space="preserve"> – </w:t>
      </w:r>
      <w:r w:rsidR="00107C39" w:rsidRPr="00107C39">
        <w:rPr>
          <w:color w:val="FF0000"/>
          <w:lang w:val="nl-BE"/>
        </w:rPr>
        <w:t xml:space="preserve">Vereffening van de </w:t>
      </w:r>
      <w:r w:rsidR="00975D35" w:rsidRPr="00107C39">
        <w:rPr>
          <w:color w:val="FF0000"/>
          <w:lang w:val="nl-BE"/>
        </w:rPr>
        <w:t>compensati</w:t>
      </w:r>
      <w:r w:rsidR="00107C39" w:rsidRPr="00107C39">
        <w:rPr>
          <w:color w:val="FF0000"/>
          <w:lang w:val="nl-BE"/>
        </w:rPr>
        <w:t>e</w:t>
      </w:r>
      <w:r w:rsidR="00975D35" w:rsidRPr="00107C39">
        <w:rPr>
          <w:color w:val="FF0000"/>
          <w:lang w:val="nl-BE"/>
        </w:rPr>
        <w:t xml:space="preserve"> e</w:t>
      </w:r>
      <w:r w:rsidR="00107C39" w:rsidRPr="00107C39">
        <w:rPr>
          <w:color w:val="FF0000"/>
          <w:lang w:val="nl-BE"/>
        </w:rPr>
        <w:t>n</w:t>
      </w:r>
      <w:r w:rsidR="00975D35" w:rsidRPr="00107C39">
        <w:rPr>
          <w:color w:val="FF0000"/>
          <w:lang w:val="nl-BE"/>
        </w:rPr>
        <w:t xml:space="preserve"> </w:t>
      </w:r>
      <w:r w:rsidR="00107C39" w:rsidRPr="00107C39">
        <w:rPr>
          <w:color w:val="FF0000"/>
          <w:lang w:val="nl-BE"/>
        </w:rPr>
        <w:t>overc</w:t>
      </w:r>
      <w:r w:rsidR="00975D35" w:rsidRPr="00107C39">
        <w:rPr>
          <w:color w:val="FF0000"/>
          <w:lang w:val="nl-BE"/>
        </w:rPr>
        <w:t>ompensati</w:t>
      </w:r>
      <w:r w:rsidR="00107C39" w:rsidRPr="00107C39">
        <w:rPr>
          <w:color w:val="FF0000"/>
          <w:lang w:val="nl-BE"/>
        </w:rPr>
        <w:t>e</w:t>
      </w:r>
    </w:p>
    <w:p w14:paraId="6CCDD5DB" w14:textId="777B2BCA" w:rsidR="008C53A4" w:rsidRPr="00E947E9" w:rsidRDefault="008C53A4" w:rsidP="008C53A4">
      <w:pPr>
        <w:pStyle w:val="Lijstnummering"/>
        <w:numPr>
          <w:ilvl w:val="0"/>
          <w:numId w:val="0"/>
        </w:numPr>
        <w:spacing w:after="0" w:line="276" w:lineRule="auto"/>
        <w:rPr>
          <w:lang w:val="nl-BE"/>
        </w:rPr>
      </w:pPr>
      <w:r>
        <w:rPr>
          <w:lang w:val="nl-BE"/>
        </w:rPr>
        <w:t>Momenteel</w:t>
      </w:r>
      <w:r w:rsidR="00E947E9" w:rsidRPr="00E947E9">
        <w:rPr>
          <w:lang w:val="nl-BE"/>
        </w:rPr>
        <w:t xml:space="preserve"> worden sociale ondernemingen met een in</w:t>
      </w:r>
      <w:r>
        <w:rPr>
          <w:lang w:val="nl-BE"/>
        </w:rPr>
        <w:t>schakelings</w:t>
      </w:r>
      <w:r w:rsidR="00E947E9" w:rsidRPr="00E947E9">
        <w:rPr>
          <w:lang w:val="nl-BE"/>
        </w:rPr>
        <w:t xml:space="preserve">mandaat </w:t>
      </w:r>
      <w:r w:rsidR="00E947E9" w:rsidRPr="008C53A4">
        <w:rPr>
          <w:b/>
          <w:bCs/>
          <w:lang w:val="nl-BE"/>
        </w:rPr>
        <w:t xml:space="preserve">gestraft wanneer ze zich niet hebben gericht op het aantal </w:t>
      </w:r>
      <w:proofErr w:type="spellStart"/>
      <w:r w:rsidR="00E947E9" w:rsidRPr="008C53A4">
        <w:rPr>
          <w:b/>
          <w:bCs/>
          <w:lang w:val="nl-BE"/>
        </w:rPr>
        <w:t>doelgroep</w:t>
      </w:r>
      <w:r w:rsidRPr="008C53A4">
        <w:rPr>
          <w:b/>
          <w:bCs/>
          <w:lang w:val="nl-BE"/>
        </w:rPr>
        <w:t>werknemers</w:t>
      </w:r>
      <w:proofErr w:type="spellEnd"/>
      <w:r w:rsidR="00E947E9" w:rsidRPr="008C53A4">
        <w:rPr>
          <w:b/>
          <w:bCs/>
          <w:lang w:val="nl-BE"/>
        </w:rPr>
        <w:t xml:space="preserve"> waarvoor ze een mandaat </w:t>
      </w:r>
      <w:r>
        <w:rPr>
          <w:b/>
          <w:bCs/>
          <w:lang w:val="nl-BE"/>
        </w:rPr>
        <w:t>bezitt</w:t>
      </w:r>
      <w:r w:rsidR="00E947E9" w:rsidRPr="008C53A4">
        <w:rPr>
          <w:b/>
          <w:bCs/>
          <w:lang w:val="nl-BE"/>
        </w:rPr>
        <w:t>en</w:t>
      </w:r>
      <w:r w:rsidR="00E947E9" w:rsidRPr="00E947E9">
        <w:rPr>
          <w:lang w:val="nl-BE"/>
        </w:rPr>
        <w:t>. Het bedrag van de compensatie wordt in twee fasen bepaald (budget en werkelijk bedrag):</w:t>
      </w:r>
    </w:p>
    <w:p w14:paraId="66E6EF46" w14:textId="5DABB855" w:rsidR="00E947E9" w:rsidRDefault="00E947E9" w:rsidP="008C53A4">
      <w:pPr>
        <w:pStyle w:val="Lijstnummering"/>
        <w:numPr>
          <w:ilvl w:val="0"/>
          <w:numId w:val="44"/>
        </w:numPr>
        <w:spacing w:line="276" w:lineRule="auto"/>
        <w:rPr>
          <w:lang w:val="nl-BE"/>
        </w:rPr>
      </w:pPr>
      <w:r w:rsidRPr="00E947E9">
        <w:rPr>
          <w:lang w:val="nl-BE"/>
        </w:rPr>
        <w:t xml:space="preserve">Het </w:t>
      </w:r>
      <w:r w:rsidR="008C53A4">
        <w:rPr>
          <w:lang w:val="nl-BE"/>
        </w:rPr>
        <w:t xml:space="preserve">budget </w:t>
      </w:r>
      <w:r w:rsidRPr="00E947E9">
        <w:rPr>
          <w:lang w:val="nl-BE"/>
        </w:rPr>
        <w:t>"mandate</w:t>
      </w:r>
      <w:r w:rsidR="008C53A4">
        <w:rPr>
          <w:lang w:val="nl-BE"/>
        </w:rPr>
        <w:t>ring</w:t>
      </w:r>
      <w:r w:rsidRPr="00E947E9">
        <w:rPr>
          <w:lang w:val="nl-BE"/>
        </w:rPr>
        <w:t xml:space="preserve">" voor </w:t>
      </w:r>
      <w:r w:rsidR="008C53A4">
        <w:rPr>
          <w:lang w:val="nl-BE"/>
        </w:rPr>
        <w:t xml:space="preserve">het </w:t>
      </w:r>
      <w:r w:rsidRPr="00E947E9">
        <w:rPr>
          <w:lang w:val="nl-BE"/>
        </w:rPr>
        <w:t xml:space="preserve">jaar N wordt berekend op basis van het doelpubliek dat vóór 15 februari van jaar N </w:t>
      </w:r>
      <w:r w:rsidR="008C53A4">
        <w:rPr>
          <w:lang w:val="nl-BE"/>
        </w:rPr>
        <w:t>aan het werk was</w:t>
      </w:r>
      <w:r w:rsidRPr="00E947E9">
        <w:rPr>
          <w:lang w:val="nl-BE"/>
        </w:rPr>
        <w:t>. Dit bedrag mag niet hoger zijn dan dat van het in</w:t>
      </w:r>
      <w:r w:rsidR="008C53A4">
        <w:rPr>
          <w:lang w:val="nl-BE"/>
        </w:rPr>
        <w:t>schakelings</w:t>
      </w:r>
      <w:r w:rsidRPr="00E947E9">
        <w:rPr>
          <w:lang w:val="nl-BE"/>
        </w:rPr>
        <w:t>programma.</w:t>
      </w:r>
    </w:p>
    <w:p w14:paraId="44D4BEAB" w14:textId="7A6F0D77" w:rsidR="00E947E9" w:rsidRPr="00E947E9" w:rsidRDefault="00E947E9" w:rsidP="00E947E9">
      <w:pPr>
        <w:pStyle w:val="Lijstnummering"/>
        <w:numPr>
          <w:ilvl w:val="0"/>
          <w:numId w:val="44"/>
        </w:numPr>
        <w:spacing w:line="276" w:lineRule="auto"/>
        <w:rPr>
          <w:lang w:val="nl-BE"/>
        </w:rPr>
      </w:pPr>
      <w:r w:rsidRPr="00E947E9">
        <w:rPr>
          <w:lang w:val="nl-BE"/>
        </w:rPr>
        <w:t>Het werkelijk</w:t>
      </w:r>
      <w:r w:rsidR="008C53A4">
        <w:rPr>
          <w:lang w:val="nl-BE"/>
        </w:rPr>
        <w:t xml:space="preserve"> bedrag</w:t>
      </w:r>
      <w:r w:rsidRPr="00E947E9">
        <w:rPr>
          <w:lang w:val="nl-BE"/>
        </w:rPr>
        <w:t xml:space="preserve"> "mandate</w:t>
      </w:r>
      <w:r w:rsidR="008C53A4">
        <w:rPr>
          <w:lang w:val="nl-BE"/>
        </w:rPr>
        <w:t>ring</w:t>
      </w:r>
      <w:r w:rsidRPr="00E947E9">
        <w:rPr>
          <w:lang w:val="nl-BE"/>
        </w:rPr>
        <w:t xml:space="preserve">" voor </w:t>
      </w:r>
      <w:r w:rsidR="008C53A4">
        <w:rPr>
          <w:lang w:val="nl-BE"/>
        </w:rPr>
        <w:t xml:space="preserve">het </w:t>
      </w:r>
      <w:r w:rsidRPr="00E947E9">
        <w:rPr>
          <w:lang w:val="nl-BE"/>
        </w:rPr>
        <w:t xml:space="preserve">jaar N wordt definitief vastgesteld in </w:t>
      </w:r>
      <w:r w:rsidR="008C53A4">
        <w:rPr>
          <w:lang w:val="nl-BE"/>
        </w:rPr>
        <w:t xml:space="preserve">het </w:t>
      </w:r>
      <w:r w:rsidRPr="00E947E9">
        <w:rPr>
          <w:lang w:val="nl-BE"/>
        </w:rPr>
        <w:t>jaar N + 1</w:t>
      </w:r>
      <w:r w:rsidR="008C53A4">
        <w:rPr>
          <w:lang w:val="nl-BE"/>
        </w:rPr>
        <w:t>,</w:t>
      </w:r>
      <w:r w:rsidRPr="00E947E9">
        <w:rPr>
          <w:lang w:val="nl-BE"/>
        </w:rPr>
        <w:t xml:space="preserve"> op basis van de doelgroep die in </w:t>
      </w:r>
      <w:r w:rsidR="008C53A4">
        <w:rPr>
          <w:lang w:val="nl-BE"/>
        </w:rPr>
        <w:t xml:space="preserve">het </w:t>
      </w:r>
      <w:r w:rsidRPr="00E947E9">
        <w:rPr>
          <w:lang w:val="nl-BE"/>
        </w:rPr>
        <w:t>jaar N aan</w:t>
      </w:r>
      <w:r w:rsidR="008C53A4">
        <w:rPr>
          <w:lang w:val="nl-BE"/>
        </w:rPr>
        <w:t xml:space="preserve"> het werk was en</w:t>
      </w:r>
      <w:r w:rsidRPr="00E947E9">
        <w:rPr>
          <w:lang w:val="nl-BE"/>
        </w:rPr>
        <w:t xml:space="preserve"> volgens kwartaalgemiddelden. Dit bedrag mag het budget niet overschrijden.</w:t>
      </w:r>
    </w:p>
    <w:p w14:paraId="4FA21BA0" w14:textId="77777777" w:rsidR="008C53A4" w:rsidRPr="008C53A4" w:rsidRDefault="008C53A4" w:rsidP="008C53A4">
      <w:pPr>
        <w:spacing w:line="276" w:lineRule="auto"/>
        <w:rPr>
          <w:lang w:val="nl-BE"/>
        </w:rPr>
      </w:pPr>
      <w:r w:rsidRPr="008C53A4">
        <w:rPr>
          <w:lang w:val="nl-BE"/>
        </w:rPr>
        <w:t>Deze methode brengt twee grote problemen met zich mee.</w:t>
      </w:r>
    </w:p>
    <w:p w14:paraId="45A6806A" w14:textId="6E2096DB" w:rsidR="008C53A4" w:rsidRPr="008C53A4" w:rsidRDefault="008C53A4" w:rsidP="008C53A4">
      <w:pPr>
        <w:spacing w:line="276" w:lineRule="auto"/>
        <w:rPr>
          <w:lang w:val="nl-BE"/>
        </w:rPr>
      </w:pPr>
      <w:r w:rsidRPr="008C53A4">
        <w:rPr>
          <w:lang w:val="nl-BE"/>
        </w:rPr>
        <w:t xml:space="preserve">Ten eerste zijn de voor inschakeling gemandateerde sociale ondernemingen </w:t>
      </w:r>
      <w:r w:rsidRPr="008C53A4">
        <w:rPr>
          <w:b/>
          <w:bCs/>
          <w:lang w:val="nl-BE"/>
        </w:rPr>
        <w:t xml:space="preserve">niet belast met </w:t>
      </w:r>
      <w:r>
        <w:rPr>
          <w:b/>
          <w:bCs/>
          <w:lang w:val="nl-BE"/>
        </w:rPr>
        <w:t>het doorverwijzen</w:t>
      </w:r>
      <w:r w:rsidRPr="008C53A4">
        <w:rPr>
          <w:b/>
          <w:bCs/>
          <w:lang w:val="nl-BE"/>
        </w:rPr>
        <w:t xml:space="preserve"> van de werknemers van het doelpubliek</w:t>
      </w:r>
      <w:r w:rsidRPr="008C53A4">
        <w:rPr>
          <w:lang w:val="nl-BE"/>
        </w:rPr>
        <w:t xml:space="preserve">. </w:t>
      </w:r>
      <w:r w:rsidRPr="008C53A4">
        <w:rPr>
          <w:b/>
          <w:bCs/>
          <w:lang w:val="nl-BE"/>
        </w:rPr>
        <w:t>D</w:t>
      </w:r>
      <w:r w:rsidR="002B72CD">
        <w:rPr>
          <w:b/>
          <w:bCs/>
          <w:lang w:val="nl-BE"/>
        </w:rPr>
        <w:t>it</w:t>
      </w:r>
      <w:r w:rsidRPr="008C53A4">
        <w:rPr>
          <w:b/>
          <w:bCs/>
          <w:lang w:val="nl-BE"/>
        </w:rPr>
        <w:t xml:space="preserve"> is in handen is van de overheidsinstellingen die bevoegd zijn voor de werkgelegenheidssteun die in aanmerking komt</w:t>
      </w:r>
      <w:r w:rsidRPr="008C53A4">
        <w:rPr>
          <w:lang w:val="nl-BE"/>
        </w:rPr>
        <w:t xml:space="preserve">: </w:t>
      </w:r>
      <w:proofErr w:type="spellStart"/>
      <w:r w:rsidRPr="008C53A4">
        <w:rPr>
          <w:lang w:val="nl-BE"/>
        </w:rPr>
        <w:t>Actiris</w:t>
      </w:r>
      <w:proofErr w:type="spellEnd"/>
      <w:r w:rsidRPr="008C53A4">
        <w:rPr>
          <w:lang w:val="nl-BE"/>
        </w:rPr>
        <w:t xml:space="preserve"> en de </w:t>
      </w:r>
      <w:proofErr w:type="spellStart"/>
      <w:r w:rsidRPr="008C53A4">
        <w:rPr>
          <w:lang w:val="nl-BE"/>
        </w:rPr>
        <w:t>OCMW's</w:t>
      </w:r>
      <w:proofErr w:type="spellEnd"/>
      <w:r w:rsidRPr="008C53A4">
        <w:rPr>
          <w:lang w:val="nl-BE"/>
        </w:rPr>
        <w:t xml:space="preserve">. Indien de </w:t>
      </w:r>
      <w:proofErr w:type="spellStart"/>
      <w:r w:rsidRPr="008C53A4">
        <w:rPr>
          <w:lang w:val="nl-BE"/>
        </w:rPr>
        <w:t>OCMW’s</w:t>
      </w:r>
      <w:proofErr w:type="spellEnd"/>
      <w:r w:rsidRPr="008C53A4">
        <w:rPr>
          <w:lang w:val="nl-BE"/>
        </w:rPr>
        <w:t xml:space="preserve"> geen doelpubliek met het statuut Artikel 60§7 doorsturen, dan worden deze hiervoor niet gestraft, in tegenstelling tot de voor inschakeling gemandateerde sociale ondernemingen die hun toelage zien verminderen. </w:t>
      </w:r>
    </w:p>
    <w:p w14:paraId="483FE10B" w14:textId="6A8E2262" w:rsidR="008C53A4" w:rsidRPr="008C53A4" w:rsidRDefault="008C53A4" w:rsidP="008C53A4">
      <w:pPr>
        <w:spacing w:line="276" w:lineRule="auto"/>
        <w:rPr>
          <w:lang w:val="nl-BE"/>
        </w:rPr>
      </w:pPr>
      <w:r w:rsidRPr="008C53A4">
        <w:rPr>
          <w:lang w:val="nl-BE"/>
        </w:rPr>
        <w:t xml:space="preserve">Ten tweede, </w:t>
      </w:r>
      <w:r w:rsidRPr="008C53A4">
        <w:rPr>
          <w:b/>
          <w:bCs/>
          <w:lang w:val="nl-BE"/>
        </w:rPr>
        <w:t>indien de toelage "mandatering" wordt berekend op basis van het doelpubliek, dan wordt deze niet gebruikt om het doelpubliek te financieren. Deze financiering mag uitsluitend worden gebruikt voor de begeleiding van het doelpubliek</w:t>
      </w:r>
      <w:r w:rsidRPr="008C53A4">
        <w:rPr>
          <w:lang w:val="nl-BE"/>
        </w:rPr>
        <w:t xml:space="preserve">. Op deze manier wordt de </w:t>
      </w:r>
      <w:r>
        <w:rPr>
          <w:lang w:val="nl-BE"/>
        </w:rPr>
        <w:t>toelage</w:t>
      </w:r>
      <w:r w:rsidRPr="008C53A4">
        <w:rPr>
          <w:lang w:val="nl-BE"/>
        </w:rPr>
        <w:t xml:space="preserve"> voor mandatering gebruikt om </w:t>
      </w:r>
      <w:r w:rsidRPr="008C53A4">
        <w:rPr>
          <w:b/>
          <w:bCs/>
          <w:lang w:val="nl-BE"/>
        </w:rPr>
        <w:t>de begeleiders te betalen</w:t>
      </w:r>
      <w:r w:rsidRPr="008C53A4">
        <w:rPr>
          <w:lang w:val="nl-BE"/>
        </w:rPr>
        <w:t xml:space="preserve"> en niet het doelpubliek. De begeleider is aanwezig, ook als niet </w:t>
      </w:r>
      <w:r>
        <w:rPr>
          <w:lang w:val="nl-BE"/>
        </w:rPr>
        <w:t>de</w:t>
      </w:r>
      <w:r w:rsidRPr="008C53A4">
        <w:rPr>
          <w:lang w:val="nl-BE"/>
        </w:rPr>
        <w:t xml:space="preserve"> hele doelgroep naar de </w:t>
      </w:r>
      <w:r>
        <w:rPr>
          <w:lang w:val="nl-BE"/>
        </w:rPr>
        <w:t xml:space="preserve">voor inschakeling </w:t>
      </w:r>
      <w:r w:rsidRPr="008C53A4">
        <w:rPr>
          <w:lang w:val="nl-BE"/>
        </w:rPr>
        <w:t>gemandateerde sociale onderneming gaat. De uitgave</w:t>
      </w:r>
      <w:r>
        <w:rPr>
          <w:lang w:val="nl-BE"/>
        </w:rPr>
        <w:t xml:space="preserve"> heeft bijgevolg plaatsgevonden e</w:t>
      </w:r>
      <w:r w:rsidRPr="008C53A4">
        <w:rPr>
          <w:lang w:val="nl-BE"/>
        </w:rPr>
        <w:t>n word</w:t>
      </w:r>
      <w:r>
        <w:rPr>
          <w:lang w:val="nl-BE"/>
        </w:rPr>
        <w:t>t</w:t>
      </w:r>
      <w:r w:rsidRPr="008C53A4">
        <w:rPr>
          <w:lang w:val="nl-BE"/>
        </w:rPr>
        <w:t xml:space="preserve"> door de sociale onderneming</w:t>
      </w:r>
      <w:r>
        <w:rPr>
          <w:lang w:val="nl-BE"/>
        </w:rPr>
        <w:t xml:space="preserve"> gedragen</w:t>
      </w:r>
      <w:r w:rsidRPr="008C53A4">
        <w:rPr>
          <w:lang w:val="nl-BE"/>
        </w:rPr>
        <w:t>.</w:t>
      </w:r>
    </w:p>
    <w:p w14:paraId="781FA352" w14:textId="1DCDDD6D" w:rsidR="008C53A4" w:rsidRPr="008C53A4" w:rsidRDefault="008C53A4" w:rsidP="008C53A4">
      <w:pPr>
        <w:spacing w:line="276" w:lineRule="auto"/>
        <w:rPr>
          <w:lang w:val="nl-BE"/>
        </w:rPr>
      </w:pPr>
      <w:r w:rsidRPr="008C53A4">
        <w:rPr>
          <w:lang w:val="nl-BE"/>
        </w:rPr>
        <w:t xml:space="preserve">Deze twee elementen brengen de </w:t>
      </w:r>
      <w:r>
        <w:rPr>
          <w:lang w:val="nl-BE"/>
        </w:rPr>
        <w:t xml:space="preserve">voor inschakeling gemandateerde </w:t>
      </w:r>
      <w:r w:rsidRPr="008C53A4">
        <w:rPr>
          <w:lang w:val="nl-BE"/>
        </w:rPr>
        <w:t xml:space="preserve">sociale ondernemingen in groot financieel gevaar. De </w:t>
      </w:r>
      <w:r>
        <w:rPr>
          <w:b/>
          <w:bCs/>
          <w:lang w:val="nl-BE"/>
        </w:rPr>
        <w:t>ARSO</w:t>
      </w:r>
      <w:r w:rsidRPr="008C53A4">
        <w:rPr>
          <w:lang w:val="nl-BE"/>
        </w:rPr>
        <w:t xml:space="preserve"> stelt voor:</w:t>
      </w:r>
    </w:p>
    <w:p w14:paraId="2E9C61FD" w14:textId="2D56BCAF" w:rsidR="008F0BF7" w:rsidRPr="008C53A4" w:rsidRDefault="008C53A4" w:rsidP="00422784">
      <w:pPr>
        <w:spacing w:line="276" w:lineRule="auto"/>
        <w:rPr>
          <w:color w:val="FF0000"/>
          <w:lang w:val="nl-BE"/>
        </w:rPr>
      </w:pPr>
      <w:r w:rsidRPr="008C53A4">
        <w:rPr>
          <w:color w:val="FF0000"/>
          <w:lang w:val="nl-BE"/>
        </w:rPr>
        <w:t>Voorstel</w:t>
      </w:r>
      <w:r w:rsidR="008F0BF7" w:rsidRPr="008C53A4">
        <w:rPr>
          <w:color w:val="FF0000"/>
          <w:lang w:val="nl-BE"/>
        </w:rPr>
        <w:t xml:space="preserve"> 1: </w:t>
      </w:r>
    </w:p>
    <w:p w14:paraId="4E51625D" w14:textId="08B71E4E" w:rsidR="008C53A4" w:rsidRPr="008C53A4" w:rsidRDefault="008C53A4" w:rsidP="008C53A4">
      <w:pPr>
        <w:spacing w:line="276" w:lineRule="auto"/>
        <w:rPr>
          <w:color w:val="FF0000"/>
          <w:lang w:val="nl-BE"/>
        </w:rPr>
      </w:pPr>
      <w:r w:rsidRPr="008C53A4">
        <w:rPr>
          <w:color w:val="FF0000"/>
          <w:lang w:val="nl-BE"/>
        </w:rPr>
        <w:t xml:space="preserve">De </w:t>
      </w:r>
      <w:r>
        <w:rPr>
          <w:b/>
          <w:bCs/>
          <w:color w:val="FF0000"/>
          <w:lang w:val="nl-BE"/>
        </w:rPr>
        <w:t>ARSO</w:t>
      </w:r>
      <w:r w:rsidRPr="008C53A4">
        <w:rPr>
          <w:color w:val="FF0000"/>
          <w:lang w:val="nl-BE"/>
        </w:rPr>
        <w:t xml:space="preserve"> stelt voor om de berekening van het budget ongewijzigd te laten. De </w:t>
      </w:r>
      <w:r>
        <w:rPr>
          <w:b/>
          <w:bCs/>
          <w:color w:val="FF0000"/>
          <w:lang w:val="nl-BE"/>
        </w:rPr>
        <w:t xml:space="preserve">ARSO </w:t>
      </w:r>
      <w:r>
        <w:rPr>
          <w:color w:val="FF0000"/>
          <w:lang w:val="nl-BE"/>
        </w:rPr>
        <w:t>stelt daarentegen</w:t>
      </w:r>
      <w:r w:rsidRPr="008C53A4">
        <w:rPr>
          <w:color w:val="FF0000"/>
          <w:lang w:val="nl-BE"/>
        </w:rPr>
        <w:t xml:space="preserve"> voor om het werkelijk</w:t>
      </w:r>
      <w:r w:rsidR="0053172C">
        <w:rPr>
          <w:color w:val="FF0000"/>
          <w:lang w:val="nl-BE"/>
        </w:rPr>
        <w:t>e</w:t>
      </w:r>
      <w:r w:rsidRPr="008C53A4">
        <w:rPr>
          <w:color w:val="FF0000"/>
          <w:lang w:val="nl-BE"/>
        </w:rPr>
        <w:t xml:space="preserve"> bedrag alleen te verlagen als het aantal </w:t>
      </w:r>
      <w:proofErr w:type="spellStart"/>
      <w:r w:rsidRPr="008C53A4">
        <w:rPr>
          <w:color w:val="FF0000"/>
          <w:lang w:val="nl-BE"/>
        </w:rPr>
        <w:t>doelgroep</w:t>
      </w:r>
      <w:r>
        <w:rPr>
          <w:color w:val="FF0000"/>
          <w:lang w:val="nl-BE"/>
        </w:rPr>
        <w:t>werknemers</w:t>
      </w:r>
      <w:proofErr w:type="spellEnd"/>
      <w:r>
        <w:rPr>
          <w:color w:val="FF0000"/>
          <w:lang w:val="nl-BE"/>
        </w:rPr>
        <w:t xml:space="preserve">, </w:t>
      </w:r>
      <w:r w:rsidRPr="008C53A4">
        <w:rPr>
          <w:color w:val="FF0000"/>
          <w:lang w:val="nl-BE"/>
        </w:rPr>
        <w:t xml:space="preserve">dat voor de berekening van het budget </w:t>
      </w:r>
      <w:r>
        <w:rPr>
          <w:color w:val="FF0000"/>
          <w:lang w:val="nl-BE"/>
        </w:rPr>
        <w:t>is</w:t>
      </w:r>
      <w:r w:rsidRPr="008C53A4">
        <w:rPr>
          <w:color w:val="FF0000"/>
          <w:lang w:val="nl-BE"/>
        </w:rPr>
        <w:t xml:space="preserve"> gebruikt, met 30% daalt. De vermindering zou pro rata worden doorgevoerd vanaf een vermindering </w:t>
      </w:r>
      <w:r>
        <w:rPr>
          <w:color w:val="FF0000"/>
          <w:lang w:val="nl-BE"/>
        </w:rPr>
        <w:t>met</w:t>
      </w:r>
      <w:r w:rsidRPr="008C53A4">
        <w:rPr>
          <w:color w:val="FF0000"/>
          <w:lang w:val="nl-BE"/>
        </w:rPr>
        <w:t xml:space="preserve"> 30% van het doelpubliek. De </w:t>
      </w:r>
      <w:r>
        <w:rPr>
          <w:color w:val="FF0000"/>
          <w:lang w:val="nl-BE"/>
        </w:rPr>
        <w:t xml:space="preserve">voor inschakeling gemandateerde </w:t>
      </w:r>
      <w:r w:rsidRPr="008C53A4">
        <w:rPr>
          <w:color w:val="FF0000"/>
          <w:lang w:val="nl-BE"/>
        </w:rPr>
        <w:t xml:space="preserve">sociale onderneming </w:t>
      </w:r>
      <w:r>
        <w:rPr>
          <w:color w:val="FF0000"/>
          <w:lang w:val="nl-BE"/>
        </w:rPr>
        <w:t>zou</w:t>
      </w:r>
      <w:r w:rsidRPr="008C53A4">
        <w:rPr>
          <w:color w:val="FF0000"/>
          <w:lang w:val="nl-BE"/>
        </w:rPr>
        <w:t xml:space="preserve"> echter het bewijs </w:t>
      </w:r>
      <w:r>
        <w:rPr>
          <w:color w:val="FF0000"/>
          <w:lang w:val="nl-BE"/>
        </w:rPr>
        <w:t xml:space="preserve">moeten </w:t>
      </w:r>
      <w:r w:rsidRPr="008C53A4">
        <w:rPr>
          <w:color w:val="FF0000"/>
          <w:lang w:val="nl-BE"/>
        </w:rPr>
        <w:t xml:space="preserve">leveren dat </w:t>
      </w:r>
      <w:r>
        <w:rPr>
          <w:color w:val="FF0000"/>
          <w:lang w:val="nl-BE"/>
        </w:rPr>
        <w:t>ze naar</w:t>
      </w:r>
      <w:r w:rsidRPr="008C53A4">
        <w:rPr>
          <w:color w:val="FF0000"/>
          <w:lang w:val="nl-BE"/>
        </w:rPr>
        <w:t xml:space="preserve"> </w:t>
      </w:r>
      <w:proofErr w:type="spellStart"/>
      <w:r w:rsidRPr="008C53A4">
        <w:rPr>
          <w:color w:val="FF0000"/>
          <w:lang w:val="nl-BE"/>
        </w:rPr>
        <w:t>doel</w:t>
      </w:r>
      <w:r>
        <w:rPr>
          <w:color w:val="FF0000"/>
          <w:lang w:val="nl-BE"/>
        </w:rPr>
        <w:t>groepwerknemers</w:t>
      </w:r>
      <w:proofErr w:type="spellEnd"/>
      <w:r w:rsidRPr="008C53A4">
        <w:rPr>
          <w:color w:val="FF0000"/>
          <w:lang w:val="nl-BE"/>
        </w:rPr>
        <w:t xml:space="preserve"> heeft gezocht. </w:t>
      </w:r>
    </w:p>
    <w:p w14:paraId="3325C11F" w14:textId="39DDF05A" w:rsidR="008C53A4" w:rsidRPr="006C1670" w:rsidRDefault="008C53A4" w:rsidP="008C53A4">
      <w:pPr>
        <w:spacing w:line="276" w:lineRule="auto"/>
        <w:rPr>
          <w:color w:val="FF0000"/>
          <w:lang w:val="nl-BE"/>
        </w:rPr>
      </w:pPr>
      <w:r w:rsidRPr="008C53A4">
        <w:rPr>
          <w:color w:val="FF0000"/>
          <w:lang w:val="nl-BE"/>
        </w:rPr>
        <w:lastRenderedPageBreak/>
        <w:t>Artikel 1</w:t>
      </w:r>
      <w:r>
        <w:rPr>
          <w:color w:val="FF0000"/>
          <w:lang w:val="nl-BE"/>
        </w:rPr>
        <w:t>6</w:t>
      </w:r>
      <w:r w:rsidRPr="008C53A4">
        <w:rPr>
          <w:color w:val="FF0000"/>
          <w:lang w:val="nl-BE"/>
        </w:rPr>
        <w:t xml:space="preserve">, § 2, van de ordonnantie van 23 juli 2018 </w:t>
      </w:r>
      <w:r w:rsidRPr="006C1670">
        <w:rPr>
          <w:color w:val="FF0000"/>
          <w:lang w:val="nl-BE"/>
        </w:rPr>
        <w:t>bepaalt: " De compensatie wordt berekend op basis van een forfaitair bedrag dat jaarlijks aangepast wordt op basis van de afgevlakte index, rekening houdend met het aantal werknemers van de doelgroep in voltijdse</w:t>
      </w:r>
      <w:r w:rsidR="0053172C">
        <w:rPr>
          <w:color w:val="FF0000"/>
          <w:lang w:val="nl-BE"/>
        </w:rPr>
        <w:t xml:space="preserve"> e</w:t>
      </w:r>
      <w:r w:rsidRPr="006C1670">
        <w:rPr>
          <w:color w:val="FF0000"/>
          <w:lang w:val="nl-BE"/>
        </w:rPr>
        <w:t xml:space="preserve">quivalenten die op het ogenblik van hun indiensttreding </w:t>
      </w:r>
      <w:r w:rsidR="0053172C">
        <w:rPr>
          <w:color w:val="FF0000"/>
          <w:lang w:val="nl-BE"/>
        </w:rPr>
        <w:t xml:space="preserve">de </w:t>
      </w:r>
      <w:r w:rsidRPr="006C1670">
        <w:rPr>
          <w:color w:val="FF0000"/>
          <w:lang w:val="nl-BE"/>
        </w:rPr>
        <w:t>steun voor tewerkstelling kunnen genieten die voorzien is door hoofdstuk 2 van de ordonnantie betreffende de tewerkstellingssteun."</w:t>
      </w:r>
    </w:p>
    <w:p w14:paraId="0ECE8C23" w14:textId="38CD6397" w:rsidR="008F0BF7" w:rsidRPr="008C53A4" w:rsidRDefault="008C53A4" w:rsidP="00422784">
      <w:pPr>
        <w:spacing w:line="276" w:lineRule="auto"/>
        <w:rPr>
          <w:color w:val="FF0000"/>
          <w:lang w:val="nl-BE"/>
        </w:rPr>
      </w:pPr>
      <w:r w:rsidRPr="008C53A4">
        <w:rPr>
          <w:color w:val="FF0000"/>
          <w:lang w:val="nl-BE"/>
        </w:rPr>
        <w:t>Voorstel</w:t>
      </w:r>
      <w:r w:rsidR="008F0BF7" w:rsidRPr="008C53A4">
        <w:rPr>
          <w:color w:val="FF0000"/>
          <w:lang w:val="nl-BE"/>
        </w:rPr>
        <w:t xml:space="preserve"> 2:</w:t>
      </w:r>
    </w:p>
    <w:p w14:paraId="0CD32F9E" w14:textId="2E00DDCA" w:rsidR="008C53A4" w:rsidRPr="008C53A4" w:rsidRDefault="008C53A4" w:rsidP="008C53A4">
      <w:pPr>
        <w:spacing w:line="276" w:lineRule="auto"/>
        <w:rPr>
          <w:color w:val="FF0000"/>
          <w:lang w:val="nl-BE"/>
        </w:rPr>
      </w:pPr>
      <w:r w:rsidRPr="008C53A4">
        <w:rPr>
          <w:color w:val="FF0000"/>
          <w:lang w:val="nl-BE"/>
        </w:rPr>
        <w:t xml:space="preserve">Daarom </w:t>
      </w:r>
      <w:r w:rsidRPr="008C53A4">
        <w:rPr>
          <w:b/>
          <w:bCs/>
          <w:color w:val="FF0000"/>
          <w:lang w:val="nl-BE"/>
        </w:rPr>
        <w:t>dringt de ARSO erop aan dat de financiering van deze dienst van algemeen economisch belang gebeurt op basis van de kostprijs van de begeleiding en de voor inschakeling gemandateerde sociale ondernemingen in staat stelt om deze kostprijs naar behoren te dragen</w:t>
      </w:r>
      <w:r w:rsidRPr="008C53A4">
        <w:rPr>
          <w:color w:val="FF0000"/>
          <w:lang w:val="nl-BE"/>
        </w:rPr>
        <w:t xml:space="preserve">. </w:t>
      </w:r>
      <w:r>
        <w:rPr>
          <w:color w:val="FF0000"/>
          <w:lang w:val="nl-BE"/>
        </w:rPr>
        <w:t>De ARSO</w:t>
      </w:r>
      <w:r w:rsidRPr="008C53A4">
        <w:rPr>
          <w:color w:val="FF0000"/>
          <w:lang w:val="nl-BE"/>
        </w:rPr>
        <w:t xml:space="preserve"> vraagt ook </w:t>
      </w:r>
      <w:r>
        <w:rPr>
          <w:color w:val="FF0000"/>
          <w:lang w:val="nl-BE"/>
        </w:rPr>
        <w:t xml:space="preserve">om </w:t>
      </w:r>
      <w:r w:rsidRPr="008C53A4">
        <w:rPr>
          <w:b/>
          <w:bCs/>
          <w:color w:val="FF0000"/>
          <w:lang w:val="nl-BE"/>
        </w:rPr>
        <w:t>een verduidelijking van de definitie van overcompensatie</w:t>
      </w:r>
      <w:r w:rsidRPr="008C53A4">
        <w:rPr>
          <w:color w:val="FF0000"/>
          <w:lang w:val="nl-BE"/>
        </w:rPr>
        <w:t xml:space="preserve">: welk verband met </w:t>
      </w:r>
      <w:r>
        <w:rPr>
          <w:color w:val="FF0000"/>
          <w:lang w:val="nl-BE"/>
        </w:rPr>
        <w:t>het doelpubliek</w:t>
      </w:r>
      <w:r w:rsidRPr="008C53A4">
        <w:rPr>
          <w:color w:val="FF0000"/>
          <w:lang w:val="nl-BE"/>
        </w:rPr>
        <w:t xml:space="preserve"> en/of de kosten van </w:t>
      </w:r>
      <w:r>
        <w:rPr>
          <w:color w:val="FF0000"/>
          <w:lang w:val="nl-BE"/>
        </w:rPr>
        <w:t>de begeleiding</w:t>
      </w:r>
      <w:r w:rsidRPr="008C53A4">
        <w:rPr>
          <w:color w:val="FF0000"/>
          <w:lang w:val="nl-BE"/>
        </w:rPr>
        <w:t>.</w:t>
      </w:r>
    </w:p>
    <w:p w14:paraId="1CD68B2E" w14:textId="3C0F645D" w:rsidR="008C53A4" w:rsidRPr="008C53A4" w:rsidRDefault="008C53A4" w:rsidP="008C53A4">
      <w:pPr>
        <w:spacing w:line="276" w:lineRule="auto"/>
        <w:rPr>
          <w:color w:val="FF0000"/>
          <w:lang w:val="nl-BE"/>
        </w:rPr>
      </w:pPr>
      <w:r w:rsidRPr="008C53A4">
        <w:rPr>
          <w:color w:val="FF0000"/>
          <w:lang w:val="nl-BE"/>
        </w:rPr>
        <w:t xml:space="preserve">Artikel 13. § 2 van het </w:t>
      </w:r>
      <w:r>
        <w:rPr>
          <w:color w:val="FF0000"/>
          <w:lang w:val="nl-BE"/>
        </w:rPr>
        <w:t>besluit</w:t>
      </w:r>
      <w:r w:rsidRPr="008C53A4">
        <w:rPr>
          <w:color w:val="FF0000"/>
          <w:lang w:val="nl-BE"/>
        </w:rPr>
        <w:t xml:space="preserve"> betreffende het mandaat</w:t>
      </w:r>
      <w:r w:rsidR="002B72CD">
        <w:rPr>
          <w:color w:val="FF0000"/>
          <w:lang w:val="nl-BE"/>
        </w:rPr>
        <w:t xml:space="preserve"> stelt</w:t>
      </w:r>
      <w:r w:rsidRPr="008C53A4">
        <w:rPr>
          <w:color w:val="FF0000"/>
          <w:lang w:val="nl-BE"/>
        </w:rPr>
        <w:t>: "Wanneer de</w:t>
      </w:r>
      <w:r>
        <w:rPr>
          <w:color w:val="FF0000"/>
          <w:lang w:val="nl-BE"/>
        </w:rPr>
        <w:t xml:space="preserve"> </w:t>
      </w:r>
      <w:r w:rsidRPr="008C53A4">
        <w:rPr>
          <w:color w:val="FF0000"/>
          <w:lang w:val="nl-BE"/>
        </w:rPr>
        <w:t xml:space="preserve">gemandateerde sociale onderneming een compensatie ontvangt die hoger is dan wat nodig is om de </w:t>
      </w:r>
      <w:r w:rsidR="002B72CD" w:rsidRPr="008C53A4">
        <w:rPr>
          <w:color w:val="FF0000"/>
          <w:lang w:val="nl-BE"/>
        </w:rPr>
        <w:t>netto kosten</w:t>
      </w:r>
      <w:r w:rsidRPr="008C53A4">
        <w:rPr>
          <w:color w:val="FF0000"/>
          <w:lang w:val="nl-BE"/>
        </w:rPr>
        <w:t xml:space="preserve"> te dekken die voortvloeien uit de uitvoering van de </w:t>
      </w:r>
      <w:r>
        <w:rPr>
          <w:color w:val="FF0000"/>
          <w:lang w:val="nl-BE"/>
        </w:rPr>
        <w:t xml:space="preserve">verplichtingen van </w:t>
      </w:r>
      <w:r w:rsidRPr="008C53A4">
        <w:rPr>
          <w:color w:val="FF0000"/>
          <w:lang w:val="nl-BE"/>
        </w:rPr>
        <w:t>openbare</w:t>
      </w:r>
      <w:r>
        <w:rPr>
          <w:color w:val="FF0000"/>
          <w:lang w:val="nl-BE"/>
        </w:rPr>
        <w:t xml:space="preserve"> </w:t>
      </w:r>
      <w:r w:rsidRPr="008C53A4">
        <w:rPr>
          <w:color w:val="FF0000"/>
          <w:lang w:val="nl-BE"/>
        </w:rPr>
        <w:t>dienstver</w:t>
      </w:r>
      <w:r>
        <w:rPr>
          <w:color w:val="FF0000"/>
          <w:lang w:val="nl-BE"/>
        </w:rPr>
        <w:t>lening</w:t>
      </w:r>
      <w:r w:rsidRPr="008C53A4">
        <w:rPr>
          <w:color w:val="FF0000"/>
          <w:lang w:val="nl-BE"/>
        </w:rPr>
        <w:t>, met inbegrip van een redelijke winst, is</w:t>
      </w:r>
      <w:r>
        <w:rPr>
          <w:color w:val="FF0000"/>
          <w:lang w:val="nl-BE"/>
        </w:rPr>
        <w:t xml:space="preserve"> deze</w:t>
      </w:r>
      <w:r w:rsidRPr="008C53A4">
        <w:rPr>
          <w:color w:val="FF0000"/>
          <w:lang w:val="nl-BE"/>
        </w:rPr>
        <w:t xml:space="preserve"> verplicht de overcompensatie terug te betalen".</w:t>
      </w:r>
    </w:p>
    <w:p w14:paraId="3A3EB4FE" w14:textId="07114A63" w:rsidR="008C53A4" w:rsidRPr="006C1670" w:rsidRDefault="008C53A4" w:rsidP="008C53A4">
      <w:pPr>
        <w:spacing w:line="276" w:lineRule="auto"/>
        <w:rPr>
          <w:lang w:val="nl-BE"/>
        </w:rPr>
      </w:pPr>
      <w:r w:rsidRPr="006C1670">
        <w:rPr>
          <w:lang w:val="nl-BE"/>
        </w:rPr>
        <w:t xml:space="preserve">Het gemiddelde zou op halfjaarlijkse in plaats van kwartaalbasis kunnen worden berekend. Deze wijziging moet een </w:t>
      </w:r>
      <w:r w:rsidRPr="006C1670">
        <w:rPr>
          <w:b/>
          <w:bCs/>
          <w:lang w:val="nl-BE"/>
        </w:rPr>
        <w:t>prioriteit</w:t>
      </w:r>
      <w:r w:rsidRPr="006C1670">
        <w:rPr>
          <w:lang w:val="nl-BE"/>
        </w:rPr>
        <w:t xml:space="preserve"> zijn tussen nu en het einde van de legislatuur.</w:t>
      </w:r>
    </w:p>
    <w:p w14:paraId="6F147F6D" w14:textId="71DF3317" w:rsidR="00012639" w:rsidRPr="006C1670" w:rsidRDefault="00012639" w:rsidP="00012639">
      <w:pPr>
        <w:spacing w:before="0" w:line="276" w:lineRule="auto"/>
        <w:rPr>
          <w:rFonts w:cstheme="minorHAnsi"/>
          <w:szCs w:val="20"/>
          <w:lang w:val="nl-BE"/>
        </w:rPr>
      </w:pPr>
    </w:p>
    <w:p w14:paraId="116B27A3" w14:textId="55C88402" w:rsidR="00155584" w:rsidRPr="00220C83" w:rsidRDefault="00155584" w:rsidP="006E2A64">
      <w:pPr>
        <w:tabs>
          <w:tab w:val="center" w:pos="4535"/>
        </w:tabs>
        <w:jc w:val="center"/>
        <w:outlineLvl w:val="0"/>
        <w:rPr>
          <w:rFonts w:cstheme="minorHAnsi"/>
          <w:szCs w:val="20"/>
        </w:rPr>
      </w:pPr>
      <w:r w:rsidRPr="00220C83">
        <w:rPr>
          <w:rFonts w:ascii="Calibri" w:hAnsi="Calibri"/>
          <w:bCs/>
          <w:color w:val="0A00BE"/>
        </w:rPr>
        <w:t>*</w:t>
      </w:r>
    </w:p>
    <w:p w14:paraId="5F41B516" w14:textId="554F7AC4" w:rsidR="008C7FA9" w:rsidRPr="00220C83" w:rsidRDefault="00155584" w:rsidP="006E2A64">
      <w:pPr>
        <w:tabs>
          <w:tab w:val="left" w:pos="0"/>
        </w:tabs>
        <w:spacing w:before="0"/>
        <w:jc w:val="center"/>
        <w:outlineLvl w:val="0"/>
        <w:rPr>
          <w:color w:val="0A00BE"/>
        </w:rPr>
      </w:pPr>
      <w:r w:rsidRPr="00220C83">
        <w:rPr>
          <w:rFonts w:ascii="Calibri" w:hAnsi="Calibri"/>
          <w:bCs/>
          <w:color w:val="0A00BE"/>
        </w:rPr>
        <w:t>*</w:t>
      </w:r>
      <w:r w:rsidRPr="00220C83">
        <w:rPr>
          <w:rFonts w:ascii="Calibri" w:hAnsi="Calibri"/>
          <w:bCs/>
          <w:color w:val="0A00BE"/>
        </w:rPr>
        <w:tab/>
        <w:t>*</w:t>
      </w:r>
    </w:p>
    <w:sectPr w:rsidR="008C7FA9" w:rsidRPr="00220C83" w:rsidSect="00A37D62">
      <w:footerReference w:type="first" r:id="rId11"/>
      <w:pgSz w:w="11906" w:h="16838" w:code="9"/>
      <w:pgMar w:top="1418" w:right="1418" w:bottom="1418" w:left="1418" w:header="851" w:footer="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16AE9" w14:textId="77777777" w:rsidR="006152E5" w:rsidRDefault="006152E5" w:rsidP="00155584">
      <w:pPr>
        <w:spacing w:before="0"/>
      </w:pPr>
      <w:r>
        <w:separator/>
      </w:r>
    </w:p>
  </w:endnote>
  <w:endnote w:type="continuationSeparator" w:id="0">
    <w:p w14:paraId="63A2DA19" w14:textId="77777777" w:rsidR="006152E5" w:rsidRDefault="006152E5" w:rsidP="0015558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30701239"/>
      <w:docPartObj>
        <w:docPartGallery w:val="Page Numbers (Bottom of Page)"/>
        <w:docPartUnique/>
      </w:docPartObj>
    </w:sdtPr>
    <w:sdtEndPr>
      <w:rPr>
        <w:sz w:val="22"/>
        <w:szCs w:val="22"/>
      </w:rPr>
    </w:sdtEndPr>
    <w:sdtContent>
      <w:sdt>
        <w:sdtPr>
          <w:rPr>
            <w:sz w:val="18"/>
            <w:szCs w:val="18"/>
          </w:rPr>
          <w:id w:val="30701240"/>
          <w:docPartObj>
            <w:docPartGallery w:val="Page Numbers (Top of Page)"/>
            <w:docPartUnique/>
          </w:docPartObj>
        </w:sdtPr>
        <w:sdtEndPr>
          <w:rPr>
            <w:sz w:val="22"/>
            <w:szCs w:val="22"/>
          </w:rPr>
        </w:sdtEndPr>
        <w:sdtContent>
          <w:p w14:paraId="1743D643" w14:textId="28F49E46" w:rsidR="00080EC5" w:rsidRPr="00C05FB7" w:rsidRDefault="00892758" w:rsidP="008A45C8">
            <w:pPr>
              <w:pStyle w:val="Voettekst"/>
            </w:pPr>
            <w:proofErr w:type="spellStart"/>
            <w:r>
              <w:rPr>
                <w:i/>
                <w:iCs/>
                <w:lang w:val="fr-FR"/>
              </w:rPr>
              <w:t>Ontwerp</w:t>
            </w:r>
            <w:proofErr w:type="spellEnd"/>
            <w:r>
              <w:rPr>
                <w:i/>
                <w:iCs/>
                <w:lang w:val="fr-FR"/>
              </w:rPr>
              <w:t xml:space="preserve"> van </w:t>
            </w:r>
            <w:proofErr w:type="spellStart"/>
            <w:r>
              <w:rPr>
                <w:i/>
                <w:iCs/>
                <w:lang w:val="fr-FR"/>
              </w:rPr>
              <w:t>advies</w:t>
            </w:r>
            <w:proofErr w:type="spellEnd"/>
            <w:r w:rsidR="002405A4" w:rsidRPr="002405A4">
              <w:rPr>
                <w:i/>
                <w:iCs/>
                <w:lang w:val="fr-FR"/>
              </w:rPr>
              <w:t xml:space="preserve"> V </w:t>
            </w:r>
            <w:sdt>
              <w:sdtPr>
                <w:rPr>
                  <w:i/>
                  <w:iCs/>
                  <w:lang w:val="fr-FR"/>
                </w:rPr>
                <w:alias w:val="date de la réunion ou de la PLEN"/>
                <w:tag w:val="date de la réunion ou de la PLEN"/>
                <w:id w:val="-2012519607"/>
                <w:placeholder>
                  <w:docPart w:val="61A4AACD461E47AD84A6BF5974266CFD"/>
                </w:placeholder>
                <w:date w:fullDate="2023-06-13T00:00:00Z">
                  <w:dateFormat w:val="dd-MM-yy"/>
                  <w:lid w:val="fr-BE"/>
                  <w:storeMappedDataAs w:val="dateTime"/>
                  <w:calendar w:val="gregorian"/>
                </w:date>
              </w:sdtPr>
              <w:sdtEndPr/>
              <w:sdtContent>
                <w:r w:rsidR="002405A4" w:rsidRPr="002405A4">
                  <w:rPr>
                    <w:i/>
                    <w:iCs/>
                  </w:rPr>
                  <w:t>13-06-23</w:t>
                </w:r>
              </w:sdtContent>
            </w:sdt>
            <w:r w:rsidR="00080EC5">
              <w:rPr>
                <w:lang w:val="fr-FR"/>
              </w:rPr>
              <w:tab/>
            </w:r>
            <w:r w:rsidR="00080EC5">
              <w:rPr>
                <w:lang w:val="fr-FR"/>
              </w:rPr>
              <w:tab/>
            </w:r>
            <w:r w:rsidR="00080EC5" w:rsidRPr="00C05FB7">
              <w:rPr>
                <w:b/>
              </w:rPr>
              <w:fldChar w:fldCharType="begin"/>
            </w:r>
            <w:r w:rsidR="00080EC5" w:rsidRPr="00C05FB7">
              <w:rPr>
                <w:b/>
              </w:rPr>
              <w:instrText>PAGE</w:instrText>
            </w:r>
            <w:r w:rsidR="00080EC5" w:rsidRPr="00C05FB7">
              <w:rPr>
                <w:b/>
              </w:rPr>
              <w:fldChar w:fldCharType="separate"/>
            </w:r>
            <w:r w:rsidR="00080EC5">
              <w:rPr>
                <w:b/>
                <w:noProof/>
              </w:rPr>
              <w:t>2</w:t>
            </w:r>
            <w:r w:rsidR="00080EC5" w:rsidRPr="00C05FB7">
              <w:rPr>
                <w:b/>
              </w:rPr>
              <w:fldChar w:fldCharType="end"/>
            </w:r>
            <w:r w:rsidR="00080EC5">
              <w:rPr>
                <w:b/>
              </w:rPr>
              <w:t>/</w:t>
            </w:r>
            <w:r w:rsidR="00080EC5" w:rsidRPr="00C05FB7">
              <w:rPr>
                <w:b/>
              </w:rPr>
              <w:fldChar w:fldCharType="begin"/>
            </w:r>
            <w:r w:rsidR="00080EC5" w:rsidRPr="00C05FB7">
              <w:rPr>
                <w:b/>
              </w:rPr>
              <w:instrText>NUMPAGES</w:instrText>
            </w:r>
            <w:r w:rsidR="00080EC5" w:rsidRPr="00C05FB7">
              <w:rPr>
                <w:b/>
              </w:rPr>
              <w:fldChar w:fldCharType="separate"/>
            </w:r>
            <w:r w:rsidR="00080EC5">
              <w:rPr>
                <w:b/>
                <w:noProof/>
              </w:rPr>
              <w:t>3</w:t>
            </w:r>
            <w:r w:rsidR="00080EC5" w:rsidRPr="00C05FB7">
              <w:rPr>
                <w:b/>
              </w:rPr>
              <w:fldChar w:fldCharType="end"/>
            </w:r>
          </w:p>
        </w:sdtContent>
      </w:sdt>
    </w:sdtContent>
  </w:sdt>
  <w:p w14:paraId="207F8D47" w14:textId="77777777" w:rsidR="00080EC5" w:rsidRDefault="00080EC5" w:rsidP="0025167B">
    <w:pPr>
      <w:jc w:val="left"/>
      <w:rPr>
        <w:lang w:val="fr-FR"/>
      </w:rPr>
    </w:pPr>
  </w:p>
  <w:p w14:paraId="585B9477" w14:textId="77777777" w:rsidR="00080EC5" w:rsidRDefault="00080EC5" w:rsidP="008A45C8">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F66D2" w14:textId="77777777" w:rsidR="0033740B" w:rsidRPr="00892758" w:rsidRDefault="0033740B" w:rsidP="0033740B">
    <w:pPr>
      <w:spacing w:before="0"/>
      <w:jc w:val="center"/>
      <w:outlineLvl w:val="0"/>
      <w:rPr>
        <w:b/>
        <w:noProof/>
        <w:color w:val="0A00BE"/>
        <w:sz w:val="20"/>
        <w:szCs w:val="20"/>
        <w:lang w:val="nl-BE"/>
      </w:rPr>
    </w:pPr>
    <w:r w:rsidRPr="00892758">
      <w:rPr>
        <w:b/>
        <w:noProof/>
        <w:color w:val="0A00BE"/>
        <w:sz w:val="20"/>
        <w:szCs w:val="20"/>
        <w:lang w:val="nl-BE"/>
      </w:rPr>
      <w:t>BRUPARTNERS</w:t>
    </w:r>
  </w:p>
  <w:p w14:paraId="6D385E41" w14:textId="489FDF49" w:rsidR="0033740B" w:rsidRPr="00892758" w:rsidRDefault="0033740B" w:rsidP="0033740B">
    <w:pPr>
      <w:spacing w:before="0"/>
      <w:jc w:val="center"/>
      <w:outlineLvl w:val="0"/>
      <w:rPr>
        <w:b/>
        <w:noProof/>
        <w:color w:val="0A00BE"/>
        <w:sz w:val="20"/>
        <w:szCs w:val="20"/>
        <w:lang w:val="nl-BE"/>
      </w:rPr>
    </w:pPr>
    <w:r w:rsidRPr="00892758">
      <w:rPr>
        <w:b/>
        <w:noProof/>
        <w:color w:val="0A00BE"/>
        <w:sz w:val="20"/>
        <w:szCs w:val="20"/>
        <w:lang w:val="nl-BE"/>
      </w:rPr>
      <w:t>Bischoffsheim</w:t>
    </w:r>
    <w:r w:rsidR="00892758" w:rsidRPr="00892758">
      <w:rPr>
        <w:b/>
        <w:noProof/>
        <w:color w:val="0A00BE"/>
        <w:sz w:val="20"/>
        <w:szCs w:val="20"/>
        <w:lang w:val="nl-BE"/>
      </w:rPr>
      <w:t>laan</w:t>
    </w:r>
    <w:r w:rsidRPr="00892758">
      <w:rPr>
        <w:b/>
        <w:noProof/>
        <w:color w:val="0A00BE"/>
        <w:sz w:val="20"/>
        <w:szCs w:val="20"/>
        <w:lang w:val="nl-BE"/>
      </w:rPr>
      <w:t xml:space="preserve"> 26 – 1000 Bru</w:t>
    </w:r>
    <w:r w:rsidR="00892758" w:rsidRPr="00892758">
      <w:rPr>
        <w:b/>
        <w:noProof/>
        <w:color w:val="0A00BE"/>
        <w:sz w:val="20"/>
        <w:szCs w:val="20"/>
        <w:lang w:val="nl-BE"/>
      </w:rPr>
      <w:t>ssel</w:t>
    </w:r>
  </w:p>
  <w:p w14:paraId="2684DDE6" w14:textId="644B3B1A" w:rsidR="0033740B" w:rsidRPr="00892758" w:rsidRDefault="0033740B" w:rsidP="0033740B">
    <w:pPr>
      <w:spacing w:before="0"/>
      <w:jc w:val="center"/>
      <w:outlineLvl w:val="0"/>
      <w:rPr>
        <w:b/>
        <w:color w:val="0A00BE"/>
        <w:sz w:val="20"/>
        <w:szCs w:val="20"/>
        <w:lang w:val="nl-BE"/>
      </w:rPr>
    </w:pPr>
    <w:r w:rsidRPr="00892758">
      <w:rPr>
        <w:b/>
        <w:noProof/>
        <w:color w:val="0A00BE"/>
        <w:sz w:val="20"/>
        <w:szCs w:val="20"/>
        <w:lang w:val="nl-BE"/>
      </w:rPr>
      <w:t>T</w:t>
    </w:r>
    <w:r w:rsidR="00892758">
      <w:rPr>
        <w:b/>
        <w:noProof/>
        <w:color w:val="0A00BE"/>
        <w:sz w:val="20"/>
        <w:szCs w:val="20"/>
        <w:lang w:val="nl-BE"/>
      </w:rPr>
      <w:t>el.</w:t>
    </w:r>
    <w:r w:rsidRPr="00892758">
      <w:rPr>
        <w:b/>
        <w:noProof/>
        <w:color w:val="0A00BE"/>
        <w:sz w:val="20"/>
        <w:szCs w:val="20"/>
        <w:lang w:val="nl-BE"/>
      </w:rPr>
      <w:t>: 02 205 68 68 – brupartners@brupartners.brussels  – www.brupartners.brussels</w:t>
    </w:r>
  </w:p>
  <w:p w14:paraId="2B3059EF" w14:textId="77777777" w:rsidR="0033740B" w:rsidRPr="00892758" w:rsidRDefault="0033740B">
    <w:pPr>
      <w:pStyle w:val="Voettekst"/>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29255" w14:textId="77777777" w:rsidR="0033740B" w:rsidRDefault="003374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BC4BA" w14:textId="77777777" w:rsidR="006152E5" w:rsidRDefault="006152E5" w:rsidP="00155584">
      <w:pPr>
        <w:spacing w:before="0"/>
      </w:pPr>
      <w:r>
        <w:separator/>
      </w:r>
    </w:p>
  </w:footnote>
  <w:footnote w:type="continuationSeparator" w:id="0">
    <w:p w14:paraId="6CA16594" w14:textId="77777777" w:rsidR="006152E5" w:rsidRDefault="006152E5" w:rsidP="00155584">
      <w:pPr>
        <w:spacing w:before="0"/>
      </w:pPr>
      <w:r>
        <w:continuationSeparator/>
      </w:r>
    </w:p>
  </w:footnote>
  <w:footnote w:id="1">
    <w:p w14:paraId="5C0359BF" w14:textId="1DFA4A2E" w:rsidR="00BD79A2" w:rsidRPr="00892758" w:rsidRDefault="00BD79A2">
      <w:pPr>
        <w:pStyle w:val="Voetnoottekst"/>
        <w:rPr>
          <w:lang w:val="nl-BE"/>
        </w:rPr>
      </w:pPr>
      <w:r>
        <w:rPr>
          <w:rStyle w:val="Voetnootmarkering"/>
        </w:rPr>
        <w:footnoteRef/>
      </w:r>
      <w:r w:rsidRPr="00892758">
        <w:rPr>
          <w:lang w:val="nl-BE"/>
        </w:rPr>
        <w:t xml:space="preserve"> </w:t>
      </w:r>
      <w:r w:rsidR="00892758" w:rsidRPr="00892758">
        <w:rPr>
          <w:lang w:val="nl-BE"/>
        </w:rPr>
        <w:t xml:space="preserve">Deze voorziening geeft recht op een doorstromingspremie van </w:t>
      </w:r>
      <w:r w:rsidR="005E2E81" w:rsidRPr="00892758">
        <w:rPr>
          <w:lang w:val="nl-BE"/>
        </w:rPr>
        <w:t xml:space="preserve">33.000 euro </w:t>
      </w:r>
      <w:r w:rsidR="00892758" w:rsidRPr="00892758">
        <w:rPr>
          <w:lang w:val="nl-BE"/>
        </w:rPr>
        <w:t>over</w:t>
      </w:r>
      <w:r w:rsidR="005E2E81" w:rsidRPr="00892758">
        <w:rPr>
          <w:lang w:val="nl-BE"/>
        </w:rPr>
        <w:t xml:space="preserve"> maximum </w:t>
      </w:r>
      <w:r w:rsidR="00892758" w:rsidRPr="00892758">
        <w:rPr>
          <w:lang w:val="nl-BE"/>
        </w:rPr>
        <w:t>twee jaar of</w:t>
      </w:r>
      <w:r w:rsidR="00892758">
        <w:rPr>
          <w:lang w:val="nl-BE"/>
        </w:rPr>
        <w:t xml:space="preserve"> op een inschakelingspremie van 10.000 euro over maximum vijf jaar</w:t>
      </w:r>
      <w:r w:rsidR="005E2E81" w:rsidRPr="00892758">
        <w:rPr>
          <w:lang w:val="nl-BE"/>
        </w:rPr>
        <w:t>.</w:t>
      </w:r>
    </w:p>
  </w:footnote>
  <w:footnote w:id="2">
    <w:p w14:paraId="20C96A01" w14:textId="1D4106DC" w:rsidR="00A5320F" w:rsidRPr="00892758" w:rsidRDefault="00A5320F">
      <w:pPr>
        <w:pStyle w:val="Voetnoottekst"/>
        <w:rPr>
          <w:lang w:val="nl-BE"/>
        </w:rPr>
      </w:pPr>
      <w:r>
        <w:rPr>
          <w:rStyle w:val="Voetnootmarkering"/>
        </w:rPr>
        <w:footnoteRef/>
      </w:r>
      <w:r w:rsidRPr="00892758">
        <w:rPr>
          <w:lang w:val="nl-BE"/>
        </w:rPr>
        <w:t xml:space="preserve"> </w:t>
      </w:r>
      <w:r w:rsidR="00892758" w:rsidRPr="00892758">
        <w:rPr>
          <w:lang w:val="nl-BE"/>
        </w:rPr>
        <w:t>De tewerkstellingssteun</w:t>
      </w:r>
      <w:r w:rsidRPr="00892758">
        <w:rPr>
          <w:color w:val="000000" w:themeColor="text1"/>
          <w:lang w:val="nl-BE"/>
        </w:rPr>
        <w:t xml:space="preserve"> ECOSOC </w:t>
      </w:r>
      <w:r w:rsidR="00892758" w:rsidRPr="00892758">
        <w:rPr>
          <w:color w:val="000000" w:themeColor="text1"/>
          <w:lang w:val="nl-BE"/>
        </w:rPr>
        <w:t>kan slechts worden toegekend na de mandatering van het project voor inschake</w:t>
      </w:r>
      <w:r w:rsidR="00892758">
        <w:rPr>
          <w:color w:val="000000" w:themeColor="text1"/>
          <w:lang w:val="nl-BE"/>
        </w:rPr>
        <w:t xml:space="preserve">ling en de </w:t>
      </w:r>
      <w:r w:rsidR="00892758">
        <w:rPr>
          <w:color w:val="000000" w:themeColor="text1"/>
          <w:lang w:val="nl-BE"/>
        </w:rPr>
        <w:t>GECO’s “inschakeling” worden toegekend via specifieke projectoproepen.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ACDCC" w14:textId="2E34332B" w:rsidR="0092615D" w:rsidRDefault="0092615D" w:rsidP="0092615D">
    <w:pPr>
      <w:pStyle w:val="Koptekst"/>
      <w:jc w:val="right"/>
    </w:pPr>
    <w:r>
      <w:rPr>
        <w:rFonts w:ascii="Calibri" w:hAnsi="Calibri"/>
        <w:color w:val="949499"/>
      </w:rPr>
      <w:t>A-2023-</w:t>
    </w:r>
    <w:r w:rsidR="0033740B">
      <w:rPr>
        <w:rFonts w:ascii="Calibri" w:hAnsi="Calibri"/>
        <w:color w:val="949499"/>
      </w:rPr>
      <w:t>XXX</w:t>
    </w:r>
    <w:r>
      <w:rPr>
        <w:rFonts w:ascii="Calibri" w:hAnsi="Calibri"/>
        <w:color w:val="949499"/>
      </w:rPr>
      <w:t>-</w:t>
    </w:r>
    <w:r w:rsidR="00892758">
      <w:rPr>
        <w:rFonts w:ascii="Calibri" w:hAnsi="Calibri"/>
        <w:color w:val="949499"/>
      </w:rPr>
      <w:t>ARSO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AC27E6C"/>
    <w:lvl w:ilvl="0">
      <w:start w:val="1"/>
      <w:numFmt w:val="decimal"/>
      <w:lvlText w:val="%1."/>
      <w:lvlJc w:val="left"/>
      <w:pPr>
        <w:tabs>
          <w:tab w:val="num" w:pos="360"/>
        </w:tabs>
        <w:ind w:left="360" w:hanging="360"/>
      </w:pPr>
    </w:lvl>
  </w:abstractNum>
  <w:abstractNum w:abstractNumId="1" w15:restartNumberingAfterBreak="0">
    <w:nsid w:val="01F3757E"/>
    <w:multiLevelType w:val="hybridMultilevel"/>
    <w:tmpl w:val="82E2AB3A"/>
    <w:lvl w:ilvl="0" w:tplc="DAE65A5A">
      <w:start w:val="1"/>
      <w:numFmt w:val="bullet"/>
      <w:lvlText w:val="-"/>
      <w:lvlJc w:val="left"/>
      <w:pPr>
        <w:ind w:left="360" w:hanging="360"/>
      </w:pPr>
      <w:rPr>
        <w:rFonts w:ascii="Calibri" w:eastAsiaTheme="minorHAnsi" w:hAnsi="Calibri" w:cs="Calibri"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550795C"/>
    <w:multiLevelType w:val="multilevel"/>
    <w:tmpl w:val="192AA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C0AE6"/>
    <w:multiLevelType w:val="hybridMultilevel"/>
    <w:tmpl w:val="945C0B02"/>
    <w:lvl w:ilvl="0" w:tplc="94B69E62">
      <w:start w:val="1"/>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0C0260C1"/>
    <w:multiLevelType w:val="hybridMultilevel"/>
    <w:tmpl w:val="B2A02B5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D7A3532"/>
    <w:multiLevelType w:val="hybridMultilevel"/>
    <w:tmpl w:val="B2F6FD50"/>
    <w:lvl w:ilvl="0" w:tplc="FACC09A6">
      <w:start w:val="1"/>
      <w:numFmt w:val="decimal"/>
      <w:pStyle w:val="Lijstnummering"/>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DB11C9"/>
    <w:multiLevelType w:val="multilevel"/>
    <w:tmpl w:val="10247E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5D50A7"/>
    <w:multiLevelType w:val="hybridMultilevel"/>
    <w:tmpl w:val="F7F2B170"/>
    <w:lvl w:ilvl="0" w:tplc="CD2A8006">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71B124F"/>
    <w:multiLevelType w:val="multilevel"/>
    <w:tmpl w:val="794614E0"/>
    <w:lvl w:ilvl="0">
      <w:start w:val="1"/>
      <w:numFmt w:val="decimal"/>
      <w:lvlText w:val="%1."/>
      <w:lvlJc w:val="left"/>
      <w:pPr>
        <w:ind w:left="720" w:hanging="360"/>
      </w:pPr>
    </w:lvl>
    <w:lvl w:ilvl="1">
      <w:start w:val="1"/>
      <w:numFmt w:val="decimal"/>
      <w:isLgl/>
      <w:lvlText w:val="%1.%2"/>
      <w:lvlJc w:val="left"/>
      <w:pPr>
        <w:ind w:left="1140" w:hanging="435"/>
      </w:pPr>
      <w:rPr>
        <w:rFonts w:hint="default"/>
      </w:rPr>
    </w:lvl>
    <w:lvl w:ilvl="2">
      <w:start w:val="1"/>
      <w:numFmt w:val="decimalZero"/>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9" w15:restartNumberingAfterBreak="0">
    <w:nsid w:val="1A8A5487"/>
    <w:multiLevelType w:val="hybridMultilevel"/>
    <w:tmpl w:val="5C826548"/>
    <w:lvl w:ilvl="0" w:tplc="3EB29896">
      <w:start w:val="2"/>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1B77595B"/>
    <w:multiLevelType w:val="hybridMultilevel"/>
    <w:tmpl w:val="0B228AE2"/>
    <w:lvl w:ilvl="0" w:tplc="29121E4E">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02B5829"/>
    <w:multiLevelType w:val="hybridMultilevel"/>
    <w:tmpl w:val="ACF49C38"/>
    <w:lvl w:ilvl="0" w:tplc="C7F81E32">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2D3A330C"/>
    <w:multiLevelType w:val="hybridMultilevel"/>
    <w:tmpl w:val="2CEEF140"/>
    <w:lvl w:ilvl="0" w:tplc="88827C5A">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E2456A2"/>
    <w:multiLevelType w:val="hybridMultilevel"/>
    <w:tmpl w:val="0B26EA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EE00BA3"/>
    <w:multiLevelType w:val="multilevel"/>
    <w:tmpl w:val="794614E0"/>
    <w:lvl w:ilvl="0">
      <w:start w:val="1"/>
      <w:numFmt w:val="decimal"/>
      <w:lvlText w:val="%1."/>
      <w:lvlJc w:val="left"/>
      <w:pPr>
        <w:ind w:left="720" w:hanging="360"/>
      </w:pPr>
    </w:lvl>
    <w:lvl w:ilvl="1">
      <w:start w:val="1"/>
      <w:numFmt w:val="decimal"/>
      <w:isLgl/>
      <w:lvlText w:val="%1.%2"/>
      <w:lvlJc w:val="left"/>
      <w:pPr>
        <w:ind w:left="1140" w:hanging="435"/>
      </w:pPr>
      <w:rPr>
        <w:rFonts w:hint="default"/>
      </w:rPr>
    </w:lvl>
    <w:lvl w:ilvl="2">
      <w:start w:val="1"/>
      <w:numFmt w:val="decimalZero"/>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5" w15:restartNumberingAfterBreak="0">
    <w:nsid w:val="346134B6"/>
    <w:multiLevelType w:val="multilevel"/>
    <w:tmpl w:val="794614E0"/>
    <w:lvl w:ilvl="0">
      <w:start w:val="1"/>
      <w:numFmt w:val="decimal"/>
      <w:lvlText w:val="%1."/>
      <w:lvlJc w:val="left"/>
      <w:pPr>
        <w:ind w:left="720" w:hanging="360"/>
      </w:pPr>
    </w:lvl>
    <w:lvl w:ilvl="1">
      <w:start w:val="1"/>
      <w:numFmt w:val="decimal"/>
      <w:isLgl/>
      <w:lvlText w:val="%1.%2"/>
      <w:lvlJc w:val="left"/>
      <w:pPr>
        <w:ind w:left="1140" w:hanging="435"/>
      </w:pPr>
      <w:rPr>
        <w:rFonts w:hint="default"/>
      </w:rPr>
    </w:lvl>
    <w:lvl w:ilvl="2">
      <w:start w:val="1"/>
      <w:numFmt w:val="decimalZero"/>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6" w15:restartNumberingAfterBreak="0">
    <w:nsid w:val="379C2A54"/>
    <w:multiLevelType w:val="hybridMultilevel"/>
    <w:tmpl w:val="46B26A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AB44841"/>
    <w:multiLevelType w:val="multilevel"/>
    <w:tmpl w:val="6C66F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D082471"/>
    <w:multiLevelType w:val="multilevel"/>
    <w:tmpl w:val="89C4B0E0"/>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E8062A2"/>
    <w:multiLevelType w:val="multilevel"/>
    <w:tmpl w:val="5AEA287A"/>
    <w:lvl w:ilvl="0">
      <w:start w:val="1"/>
      <w:numFmt w:val="decimal"/>
      <w:pStyle w:val="Kop2"/>
      <w:lvlText w:val="%1."/>
      <w:lvlJc w:val="left"/>
      <w:pPr>
        <w:ind w:left="1077" w:hanging="360"/>
      </w:pPr>
    </w:lvl>
    <w:lvl w:ilvl="1">
      <w:start w:val="4"/>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157" w:hanging="1440"/>
      </w:pPr>
      <w:rPr>
        <w:rFonts w:hint="default"/>
      </w:rPr>
    </w:lvl>
  </w:abstractNum>
  <w:abstractNum w:abstractNumId="20" w15:restartNumberingAfterBreak="0">
    <w:nsid w:val="41202E03"/>
    <w:multiLevelType w:val="hybridMultilevel"/>
    <w:tmpl w:val="D00E30B0"/>
    <w:lvl w:ilvl="0" w:tplc="FACC09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A82EF2"/>
    <w:multiLevelType w:val="hybridMultilevel"/>
    <w:tmpl w:val="8EC8F972"/>
    <w:lvl w:ilvl="0" w:tplc="DAE65A5A">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F48465F"/>
    <w:multiLevelType w:val="hybridMultilevel"/>
    <w:tmpl w:val="CD502454"/>
    <w:lvl w:ilvl="0" w:tplc="FFFFFFFF">
      <w:start w:val="1"/>
      <w:numFmt w:val="decimal"/>
      <w:lvlText w:val="%1."/>
      <w:lvlJc w:val="left"/>
      <w:pPr>
        <w:ind w:left="420" w:hanging="360"/>
      </w:pPr>
      <w:rPr>
        <w:rFonts w:ascii="Calibri" w:eastAsia="Times New Roman" w:hAnsi="Calibri" w:cs="Calibri"/>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3" w15:restartNumberingAfterBreak="0">
    <w:nsid w:val="516E3A74"/>
    <w:multiLevelType w:val="multilevel"/>
    <w:tmpl w:val="65E44D84"/>
    <w:lvl w:ilvl="0">
      <w:start w:val="2"/>
      <w:numFmt w:val="decimal"/>
      <w:lvlText w:val="%1."/>
      <w:lvlJc w:val="left"/>
      <w:pPr>
        <w:ind w:left="1077" w:hanging="360"/>
      </w:pPr>
      <w:rPr>
        <w:rFonts w:hint="default"/>
      </w:rPr>
    </w:lvl>
    <w:lvl w:ilvl="1">
      <w:start w:val="1"/>
      <w:numFmt w:val="decimal"/>
      <w:pStyle w:val="Kop3"/>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157" w:hanging="1440"/>
      </w:pPr>
      <w:rPr>
        <w:rFonts w:hint="default"/>
      </w:rPr>
    </w:lvl>
  </w:abstractNum>
  <w:abstractNum w:abstractNumId="24" w15:restartNumberingAfterBreak="0">
    <w:nsid w:val="520133A3"/>
    <w:multiLevelType w:val="hybridMultilevel"/>
    <w:tmpl w:val="5E3CBCB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6553101"/>
    <w:multiLevelType w:val="hybridMultilevel"/>
    <w:tmpl w:val="CD502454"/>
    <w:lvl w:ilvl="0" w:tplc="082E07B8">
      <w:start w:val="1"/>
      <w:numFmt w:val="decimal"/>
      <w:lvlText w:val="%1."/>
      <w:lvlJc w:val="left"/>
      <w:pPr>
        <w:ind w:left="420" w:hanging="360"/>
      </w:pPr>
      <w:rPr>
        <w:rFonts w:ascii="Calibri" w:eastAsia="Times New Roman" w:hAnsi="Calibri" w:cs="Calibri"/>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6" w15:restartNumberingAfterBreak="0">
    <w:nsid w:val="57B1709D"/>
    <w:multiLevelType w:val="hybridMultilevel"/>
    <w:tmpl w:val="310287B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F1023CE"/>
    <w:multiLevelType w:val="hybridMultilevel"/>
    <w:tmpl w:val="ACFCE56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6DC4702"/>
    <w:multiLevelType w:val="hybridMultilevel"/>
    <w:tmpl w:val="BEF8D6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215CEA"/>
    <w:multiLevelType w:val="hybridMultilevel"/>
    <w:tmpl w:val="7FECFC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2B67FC3"/>
    <w:multiLevelType w:val="hybridMultilevel"/>
    <w:tmpl w:val="AAEEEADC"/>
    <w:lvl w:ilvl="0" w:tplc="FACC09A6">
      <w:start w:val="1"/>
      <w:numFmt w:val="decimal"/>
      <w:lvlText w:val="%1."/>
      <w:lvlJc w:val="left"/>
      <w:pPr>
        <w:ind w:left="850" w:hanging="360"/>
      </w:pPr>
      <w:rPr>
        <w:rFonts w:hint="default"/>
      </w:rPr>
    </w:lvl>
    <w:lvl w:ilvl="1" w:tplc="040C0019">
      <w:start w:val="1"/>
      <w:numFmt w:val="lowerLetter"/>
      <w:lvlText w:val="%2."/>
      <w:lvlJc w:val="left"/>
      <w:pPr>
        <w:ind w:left="1570" w:hanging="360"/>
      </w:pPr>
    </w:lvl>
    <w:lvl w:ilvl="2" w:tplc="040C001B" w:tentative="1">
      <w:start w:val="1"/>
      <w:numFmt w:val="lowerRoman"/>
      <w:lvlText w:val="%3."/>
      <w:lvlJc w:val="right"/>
      <w:pPr>
        <w:ind w:left="2290" w:hanging="180"/>
      </w:pPr>
    </w:lvl>
    <w:lvl w:ilvl="3" w:tplc="040C000F" w:tentative="1">
      <w:start w:val="1"/>
      <w:numFmt w:val="decimal"/>
      <w:lvlText w:val="%4."/>
      <w:lvlJc w:val="left"/>
      <w:pPr>
        <w:ind w:left="3010" w:hanging="360"/>
      </w:pPr>
    </w:lvl>
    <w:lvl w:ilvl="4" w:tplc="040C0019" w:tentative="1">
      <w:start w:val="1"/>
      <w:numFmt w:val="lowerLetter"/>
      <w:lvlText w:val="%5."/>
      <w:lvlJc w:val="left"/>
      <w:pPr>
        <w:ind w:left="3730" w:hanging="360"/>
      </w:pPr>
    </w:lvl>
    <w:lvl w:ilvl="5" w:tplc="040C001B" w:tentative="1">
      <w:start w:val="1"/>
      <w:numFmt w:val="lowerRoman"/>
      <w:lvlText w:val="%6."/>
      <w:lvlJc w:val="right"/>
      <w:pPr>
        <w:ind w:left="4450" w:hanging="180"/>
      </w:pPr>
    </w:lvl>
    <w:lvl w:ilvl="6" w:tplc="040C000F" w:tentative="1">
      <w:start w:val="1"/>
      <w:numFmt w:val="decimal"/>
      <w:lvlText w:val="%7."/>
      <w:lvlJc w:val="left"/>
      <w:pPr>
        <w:ind w:left="5170" w:hanging="360"/>
      </w:pPr>
    </w:lvl>
    <w:lvl w:ilvl="7" w:tplc="040C0019" w:tentative="1">
      <w:start w:val="1"/>
      <w:numFmt w:val="lowerLetter"/>
      <w:lvlText w:val="%8."/>
      <w:lvlJc w:val="left"/>
      <w:pPr>
        <w:ind w:left="5890" w:hanging="360"/>
      </w:pPr>
    </w:lvl>
    <w:lvl w:ilvl="8" w:tplc="040C001B" w:tentative="1">
      <w:start w:val="1"/>
      <w:numFmt w:val="lowerRoman"/>
      <w:lvlText w:val="%9."/>
      <w:lvlJc w:val="right"/>
      <w:pPr>
        <w:ind w:left="6610" w:hanging="180"/>
      </w:pPr>
    </w:lvl>
  </w:abstractNum>
  <w:abstractNum w:abstractNumId="31" w15:restartNumberingAfterBreak="0">
    <w:nsid w:val="75452EDF"/>
    <w:multiLevelType w:val="hybridMultilevel"/>
    <w:tmpl w:val="9C5E3B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BE54E21"/>
    <w:multiLevelType w:val="hybridMultilevel"/>
    <w:tmpl w:val="277E6016"/>
    <w:lvl w:ilvl="0" w:tplc="C7F81E3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34667318">
    <w:abstractNumId w:val="15"/>
  </w:num>
  <w:num w:numId="2" w16cid:durableId="379943616">
    <w:abstractNumId w:val="27"/>
  </w:num>
  <w:num w:numId="3" w16cid:durableId="269316176">
    <w:abstractNumId w:val="15"/>
  </w:num>
  <w:num w:numId="4" w16cid:durableId="2137403090">
    <w:abstractNumId w:val="26"/>
  </w:num>
  <w:num w:numId="5" w16cid:durableId="425808913">
    <w:abstractNumId w:val="15"/>
  </w:num>
  <w:num w:numId="6" w16cid:durableId="333730180">
    <w:abstractNumId w:val="15"/>
  </w:num>
  <w:num w:numId="7" w16cid:durableId="1343127024">
    <w:abstractNumId w:val="21"/>
  </w:num>
  <w:num w:numId="8" w16cid:durableId="46497456">
    <w:abstractNumId w:val="31"/>
  </w:num>
  <w:num w:numId="9" w16cid:durableId="279532852">
    <w:abstractNumId w:val="15"/>
  </w:num>
  <w:num w:numId="10" w16cid:durableId="394817697">
    <w:abstractNumId w:val="15"/>
  </w:num>
  <w:num w:numId="11" w16cid:durableId="104934886">
    <w:abstractNumId w:val="15"/>
  </w:num>
  <w:num w:numId="12" w16cid:durableId="895700703">
    <w:abstractNumId w:val="1"/>
  </w:num>
  <w:num w:numId="13" w16cid:durableId="2035619417">
    <w:abstractNumId w:val="19"/>
  </w:num>
  <w:num w:numId="14" w16cid:durableId="643003393">
    <w:abstractNumId w:val="24"/>
  </w:num>
  <w:num w:numId="15" w16cid:durableId="402871381">
    <w:abstractNumId w:val="8"/>
  </w:num>
  <w:num w:numId="16" w16cid:durableId="39212106">
    <w:abstractNumId w:val="10"/>
  </w:num>
  <w:num w:numId="17" w16cid:durableId="1227452979">
    <w:abstractNumId w:val="14"/>
  </w:num>
  <w:num w:numId="18" w16cid:durableId="1815756322">
    <w:abstractNumId w:val="11"/>
  </w:num>
  <w:num w:numId="19" w16cid:durableId="691035692">
    <w:abstractNumId w:val="9"/>
  </w:num>
  <w:num w:numId="20" w16cid:durableId="1461917881">
    <w:abstractNumId w:val="7"/>
  </w:num>
  <w:num w:numId="21" w16cid:durableId="2033217406">
    <w:abstractNumId w:val="6"/>
  </w:num>
  <w:num w:numId="22" w16cid:durableId="891962151">
    <w:abstractNumId w:val="32"/>
  </w:num>
  <w:num w:numId="23" w16cid:durableId="151724709">
    <w:abstractNumId w:val="13"/>
  </w:num>
  <w:num w:numId="24" w16cid:durableId="10178475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3806467">
    <w:abstractNumId w:val="23"/>
  </w:num>
  <w:num w:numId="26" w16cid:durableId="131291796">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68991">
    <w:abstractNumId w:val="3"/>
  </w:num>
  <w:num w:numId="28" w16cid:durableId="139658123">
    <w:abstractNumId w:val="12"/>
  </w:num>
  <w:num w:numId="29" w16cid:durableId="2022706741">
    <w:abstractNumId w:val="5"/>
    <w:lvlOverride w:ilvl="0">
      <w:startOverride w:val="1"/>
    </w:lvlOverride>
  </w:num>
  <w:num w:numId="30" w16cid:durableId="1149058793">
    <w:abstractNumId w:val="20"/>
  </w:num>
  <w:num w:numId="31" w16cid:durableId="1625961137">
    <w:abstractNumId w:val="5"/>
  </w:num>
  <w:num w:numId="32" w16cid:durableId="590042800">
    <w:abstractNumId w:val="30"/>
  </w:num>
  <w:num w:numId="33" w16cid:durableId="735250963">
    <w:abstractNumId w:val="25"/>
  </w:num>
  <w:num w:numId="34" w16cid:durableId="809984852">
    <w:abstractNumId w:val="2"/>
  </w:num>
  <w:num w:numId="35" w16cid:durableId="856113240">
    <w:abstractNumId w:val="22"/>
  </w:num>
  <w:num w:numId="36" w16cid:durableId="1276592611">
    <w:abstractNumId w:val="5"/>
    <w:lvlOverride w:ilvl="0">
      <w:startOverride w:val="1"/>
    </w:lvlOverride>
  </w:num>
  <w:num w:numId="37" w16cid:durableId="1201742993">
    <w:abstractNumId w:val="16"/>
  </w:num>
  <w:num w:numId="38" w16cid:durableId="1544713196">
    <w:abstractNumId w:val="29"/>
  </w:num>
  <w:num w:numId="39" w16cid:durableId="370112262">
    <w:abstractNumId w:val="28"/>
  </w:num>
  <w:num w:numId="40" w16cid:durableId="737018927">
    <w:abstractNumId w:val="30"/>
    <w:lvlOverride w:ilvl="0">
      <w:startOverride w:val="1"/>
    </w:lvlOverride>
  </w:num>
  <w:num w:numId="41" w16cid:durableId="2135172322">
    <w:abstractNumId w:val="5"/>
    <w:lvlOverride w:ilvl="0">
      <w:startOverride w:val="1"/>
    </w:lvlOverride>
  </w:num>
  <w:num w:numId="42" w16cid:durableId="1987737241">
    <w:abstractNumId w:val="0"/>
  </w:num>
  <w:num w:numId="43" w16cid:durableId="1833446162">
    <w:abstractNumId w:val="0"/>
  </w:num>
  <w:num w:numId="44" w16cid:durableId="95579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01"/>
    <w:rsid w:val="000019CE"/>
    <w:rsid w:val="0000501F"/>
    <w:rsid w:val="00007DAC"/>
    <w:rsid w:val="0001246A"/>
    <w:rsid w:val="00012639"/>
    <w:rsid w:val="0001572E"/>
    <w:rsid w:val="00017E40"/>
    <w:rsid w:val="000201A0"/>
    <w:rsid w:val="00027178"/>
    <w:rsid w:val="0003324A"/>
    <w:rsid w:val="000350BC"/>
    <w:rsid w:val="000512ED"/>
    <w:rsid w:val="00052842"/>
    <w:rsid w:val="00056E6C"/>
    <w:rsid w:val="00062AEB"/>
    <w:rsid w:val="0006435E"/>
    <w:rsid w:val="00074C43"/>
    <w:rsid w:val="00080EC5"/>
    <w:rsid w:val="00093E55"/>
    <w:rsid w:val="00096C6D"/>
    <w:rsid w:val="00096CE4"/>
    <w:rsid w:val="0009732B"/>
    <w:rsid w:val="000A1753"/>
    <w:rsid w:val="000A3183"/>
    <w:rsid w:val="000A358D"/>
    <w:rsid w:val="000A5B93"/>
    <w:rsid w:val="000B610F"/>
    <w:rsid w:val="000C4EEC"/>
    <w:rsid w:val="000E262F"/>
    <w:rsid w:val="000E46FB"/>
    <w:rsid w:val="000E5436"/>
    <w:rsid w:val="000E5641"/>
    <w:rsid w:val="000F5CF4"/>
    <w:rsid w:val="000F7B15"/>
    <w:rsid w:val="00106B6A"/>
    <w:rsid w:val="00107C39"/>
    <w:rsid w:val="001126AB"/>
    <w:rsid w:val="0011455A"/>
    <w:rsid w:val="001154D9"/>
    <w:rsid w:val="001222A8"/>
    <w:rsid w:val="001264CA"/>
    <w:rsid w:val="001265F7"/>
    <w:rsid w:val="00135F7B"/>
    <w:rsid w:val="0013638F"/>
    <w:rsid w:val="001400BE"/>
    <w:rsid w:val="00147FC4"/>
    <w:rsid w:val="001500A3"/>
    <w:rsid w:val="00150A10"/>
    <w:rsid w:val="00155584"/>
    <w:rsid w:val="001610E3"/>
    <w:rsid w:val="00162905"/>
    <w:rsid w:val="00164AF1"/>
    <w:rsid w:val="001651B2"/>
    <w:rsid w:val="00170BE7"/>
    <w:rsid w:val="00170EAA"/>
    <w:rsid w:val="00176D96"/>
    <w:rsid w:val="00177ECC"/>
    <w:rsid w:val="00181C30"/>
    <w:rsid w:val="00187DA6"/>
    <w:rsid w:val="001A3D00"/>
    <w:rsid w:val="001A4487"/>
    <w:rsid w:val="001A4676"/>
    <w:rsid w:val="001A4E3F"/>
    <w:rsid w:val="001A5A9A"/>
    <w:rsid w:val="001B0E0C"/>
    <w:rsid w:val="001B4B5B"/>
    <w:rsid w:val="001B707C"/>
    <w:rsid w:val="001B7901"/>
    <w:rsid w:val="001B7C98"/>
    <w:rsid w:val="001C4736"/>
    <w:rsid w:val="001C743A"/>
    <w:rsid w:val="001D19DB"/>
    <w:rsid w:val="001D4052"/>
    <w:rsid w:val="001D4AFA"/>
    <w:rsid w:val="001D76A7"/>
    <w:rsid w:val="001E0794"/>
    <w:rsid w:val="001E170E"/>
    <w:rsid w:val="001E18B5"/>
    <w:rsid w:val="001E2FD9"/>
    <w:rsid w:val="001E364D"/>
    <w:rsid w:val="001F0463"/>
    <w:rsid w:val="001F0975"/>
    <w:rsid w:val="001F3F8F"/>
    <w:rsid w:val="002116F3"/>
    <w:rsid w:val="00212F3B"/>
    <w:rsid w:val="002133A5"/>
    <w:rsid w:val="00220C83"/>
    <w:rsid w:val="0022188A"/>
    <w:rsid w:val="0022362A"/>
    <w:rsid w:val="00225923"/>
    <w:rsid w:val="00226CC2"/>
    <w:rsid w:val="002309B4"/>
    <w:rsid w:val="00236801"/>
    <w:rsid w:val="002405A4"/>
    <w:rsid w:val="00242584"/>
    <w:rsid w:val="00242870"/>
    <w:rsid w:val="00246EE9"/>
    <w:rsid w:val="00247DCB"/>
    <w:rsid w:val="0025167B"/>
    <w:rsid w:val="002516A8"/>
    <w:rsid w:val="00255598"/>
    <w:rsid w:val="00256017"/>
    <w:rsid w:val="002574F5"/>
    <w:rsid w:val="002610EF"/>
    <w:rsid w:val="00261B76"/>
    <w:rsid w:val="00263801"/>
    <w:rsid w:val="002638CC"/>
    <w:rsid w:val="002726B0"/>
    <w:rsid w:val="0027325B"/>
    <w:rsid w:val="00284090"/>
    <w:rsid w:val="00285F32"/>
    <w:rsid w:val="002912F6"/>
    <w:rsid w:val="00293FA4"/>
    <w:rsid w:val="00295E35"/>
    <w:rsid w:val="00295EFB"/>
    <w:rsid w:val="00295FA7"/>
    <w:rsid w:val="002B06B8"/>
    <w:rsid w:val="002B28E1"/>
    <w:rsid w:val="002B6D16"/>
    <w:rsid w:val="002B72CD"/>
    <w:rsid w:val="002C3993"/>
    <w:rsid w:val="002C5F99"/>
    <w:rsid w:val="002C71D7"/>
    <w:rsid w:val="002D3706"/>
    <w:rsid w:val="002D4569"/>
    <w:rsid w:val="002D5696"/>
    <w:rsid w:val="002D757A"/>
    <w:rsid w:val="002E587E"/>
    <w:rsid w:val="002E623A"/>
    <w:rsid w:val="002F1F55"/>
    <w:rsid w:val="002F21EE"/>
    <w:rsid w:val="00302A97"/>
    <w:rsid w:val="00304FAD"/>
    <w:rsid w:val="00305070"/>
    <w:rsid w:val="00313642"/>
    <w:rsid w:val="00314A1F"/>
    <w:rsid w:val="00321EBE"/>
    <w:rsid w:val="003226CF"/>
    <w:rsid w:val="00324DBC"/>
    <w:rsid w:val="00327D01"/>
    <w:rsid w:val="003371D7"/>
    <w:rsid w:val="0033740B"/>
    <w:rsid w:val="00352B79"/>
    <w:rsid w:val="00352DFC"/>
    <w:rsid w:val="003570F4"/>
    <w:rsid w:val="00357462"/>
    <w:rsid w:val="0035784E"/>
    <w:rsid w:val="003639F6"/>
    <w:rsid w:val="00366ACC"/>
    <w:rsid w:val="00371ABC"/>
    <w:rsid w:val="00373769"/>
    <w:rsid w:val="00383E72"/>
    <w:rsid w:val="0038554B"/>
    <w:rsid w:val="003874FD"/>
    <w:rsid w:val="003875D8"/>
    <w:rsid w:val="0039069D"/>
    <w:rsid w:val="00393359"/>
    <w:rsid w:val="003948AD"/>
    <w:rsid w:val="00397329"/>
    <w:rsid w:val="003A7414"/>
    <w:rsid w:val="003B30CE"/>
    <w:rsid w:val="003B40AE"/>
    <w:rsid w:val="003B52D0"/>
    <w:rsid w:val="003B60E5"/>
    <w:rsid w:val="003B636C"/>
    <w:rsid w:val="003C02B7"/>
    <w:rsid w:val="003C2132"/>
    <w:rsid w:val="003C3861"/>
    <w:rsid w:val="003D1209"/>
    <w:rsid w:val="003D69C9"/>
    <w:rsid w:val="003D7A17"/>
    <w:rsid w:val="003E124D"/>
    <w:rsid w:val="003E297A"/>
    <w:rsid w:val="003E3397"/>
    <w:rsid w:val="003E47EA"/>
    <w:rsid w:val="003F16DE"/>
    <w:rsid w:val="003F76B6"/>
    <w:rsid w:val="0040248B"/>
    <w:rsid w:val="00402813"/>
    <w:rsid w:val="004036A5"/>
    <w:rsid w:val="004036D3"/>
    <w:rsid w:val="00403ECE"/>
    <w:rsid w:val="00405808"/>
    <w:rsid w:val="00413E18"/>
    <w:rsid w:val="00416B31"/>
    <w:rsid w:val="00422784"/>
    <w:rsid w:val="0043028D"/>
    <w:rsid w:val="004341D9"/>
    <w:rsid w:val="0043442E"/>
    <w:rsid w:val="00434D43"/>
    <w:rsid w:val="004415A5"/>
    <w:rsid w:val="0044190A"/>
    <w:rsid w:val="00443CB5"/>
    <w:rsid w:val="00443E7F"/>
    <w:rsid w:val="00445EB5"/>
    <w:rsid w:val="00446F55"/>
    <w:rsid w:val="00447BD9"/>
    <w:rsid w:val="0045011E"/>
    <w:rsid w:val="00453005"/>
    <w:rsid w:val="004570FE"/>
    <w:rsid w:val="00466341"/>
    <w:rsid w:val="0047689F"/>
    <w:rsid w:val="0048220C"/>
    <w:rsid w:val="00487B62"/>
    <w:rsid w:val="004909F7"/>
    <w:rsid w:val="00496E01"/>
    <w:rsid w:val="004A0354"/>
    <w:rsid w:val="004A22DE"/>
    <w:rsid w:val="004A536B"/>
    <w:rsid w:val="004A5F18"/>
    <w:rsid w:val="004B0777"/>
    <w:rsid w:val="004B1CB3"/>
    <w:rsid w:val="004B79C6"/>
    <w:rsid w:val="004C0A21"/>
    <w:rsid w:val="004C2E1F"/>
    <w:rsid w:val="004C3776"/>
    <w:rsid w:val="004D3157"/>
    <w:rsid w:val="004E36A4"/>
    <w:rsid w:val="004F2122"/>
    <w:rsid w:val="004F4BA9"/>
    <w:rsid w:val="004F5B3B"/>
    <w:rsid w:val="004F724A"/>
    <w:rsid w:val="00501857"/>
    <w:rsid w:val="0050301F"/>
    <w:rsid w:val="00503872"/>
    <w:rsid w:val="0050768E"/>
    <w:rsid w:val="005104E7"/>
    <w:rsid w:val="005207CA"/>
    <w:rsid w:val="00527DF7"/>
    <w:rsid w:val="0053106C"/>
    <w:rsid w:val="0053172C"/>
    <w:rsid w:val="00534195"/>
    <w:rsid w:val="00546B19"/>
    <w:rsid w:val="005504FD"/>
    <w:rsid w:val="00551BB4"/>
    <w:rsid w:val="005534C7"/>
    <w:rsid w:val="005536FD"/>
    <w:rsid w:val="00555530"/>
    <w:rsid w:val="0056161E"/>
    <w:rsid w:val="00572849"/>
    <w:rsid w:val="00574916"/>
    <w:rsid w:val="00580D32"/>
    <w:rsid w:val="00581B89"/>
    <w:rsid w:val="0058394A"/>
    <w:rsid w:val="0059029D"/>
    <w:rsid w:val="0059760E"/>
    <w:rsid w:val="005A224E"/>
    <w:rsid w:val="005B20A9"/>
    <w:rsid w:val="005B2238"/>
    <w:rsid w:val="005B4135"/>
    <w:rsid w:val="005B57D7"/>
    <w:rsid w:val="005B7FD9"/>
    <w:rsid w:val="005C14AD"/>
    <w:rsid w:val="005C1F08"/>
    <w:rsid w:val="005C20FE"/>
    <w:rsid w:val="005C3621"/>
    <w:rsid w:val="005D173C"/>
    <w:rsid w:val="005D68B2"/>
    <w:rsid w:val="005E1686"/>
    <w:rsid w:val="005E2E42"/>
    <w:rsid w:val="005E2E81"/>
    <w:rsid w:val="005E6386"/>
    <w:rsid w:val="005F0535"/>
    <w:rsid w:val="005F4892"/>
    <w:rsid w:val="00602D34"/>
    <w:rsid w:val="00606FEF"/>
    <w:rsid w:val="00614494"/>
    <w:rsid w:val="00614BDF"/>
    <w:rsid w:val="006152E5"/>
    <w:rsid w:val="00616135"/>
    <w:rsid w:val="0062046C"/>
    <w:rsid w:val="00622DE5"/>
    <w:rsid w:val="00624EA6"/>
    <w:rsid w:val="00625547"/>
    <w:rsid w:val="00625BA9"/>
    <w:rsid w:val="006373BC"/>
    <w:rsid w:val="0063752B"/>
    <w:rsid w:val="0064009D"/>
    <w:rsid w:val="006401F4"/>
    <w:rsid w:val="00643997"/>
    <w:rsid w:val="00646303"/>
    <w:rsid w:val="006523CD"/>
    <w:rsid w:val="00653BEB"/>
    <w:rsid w:val="006555C6"/>
    <w:rsid w:val="00655BF4"/>
    <w:rsid w:val="00657F13"/>
    <w:rsid w:val="0066371B"/>
    <w:rsid w:val="00665ACF"/>
    <w:rsid w:val="00666636"/>
    <w:rsid w:val="00673ED0"/>
    <w:rsid w:val="00685C65"/>
    <w:rsid w:val="006879C2"/>
    <w:rsid w:val="0069181A"/>
    <w:rsid w:val="00691EAF"/>
    <w:rsid w:val="00695DD7"/>
    <w:rsid w:val="00697D99"/>
    <w:rsid w:val="006A116C"/>
    <w:rsid w:val="006A20F3"/>
    <w:rsid w:val="006A23B1"/>
    <w:rsid w:val="006C14C5"/>
    <w:rsid w:val="006C1670"/>
    <w:rsid w:val="006C226F"/>
    <w:rsid w:val="006C4AA2"/>
    <w:rsid w:val="006C54A1"/>
    <w:rsid w:val="006C5E4D"/>
    <w:rsid w:val="006C637D"/>
    <w:rsid w:val="006D01F3"/>
    <w:rsid w:val="006D2797"/>
    <w:rsid w:val="006D3199"/>
    <w:rsid w:val="006D3FC0"/>
    <w:rsid w:val="006D7A35"/>
    <w:rsid w:val="006E0A9F"/>
    <w:rsid w:val="006E233D"/>
    <w:rsid w:val="006E26B8"/>
    <w:rsid w:val="006E2A64"/>
    <w:rsid w:val="006E6688"/>
    <w:rsid w:val="006E6933"/>
    <w:rsid w:val="006F0EBA"/>
    <w:rsid w:val="006F174C"/>
    <w:rsid w:val="006F2E6B"/>
    <w:rsid w:val="006F34F5"/>
    <w:rsid w:val="006F4672"/>
    <w:rsid w:val="00704B33"/>
    <w:rsid w:val="0071585F"/>
    <w:rsid w:val="00715B99"/>
    <w:rsid w:val="00716156"/>
    <w:rsid w:val="00717435"/>
    <w:rsid w:val="00717F53"/>
    <w:rsid w:val="00720232"/>
    <w:rsid w:val="00720D34"/>
    <w:rsid w:val="00725325"/>
    <w:rsid w:val="007257DA"/>
    <w:rsid w:val="00725966"/>
    <w:rsid w:val="00726134"/>
    <w:rsid w:val="00727AD7"/>
    <w:rsid w:val="00732693"/>
    <w:rsid w:val="007349BC"/>
    <w:rsid w:val="007407B3"/>
    <w:rsid w:val="0074210C"/>
    <w:rsid w:val="00744DC9"/>
    <w:rsid w:val="00745FB0"/>
    <w:rsid w:val="00747BF4"/>
    <w:rsid w:val="0075478A"/>
    <w:rsid w:val="007573F1"/>
    <w:rsid w:val="007722B5"/>
    <w:rsid w:val="0077257B"/>
    <w:rsid w:val="00774FBA"/>
    <w:rsid w:val="00777FED"/>
    <w:rsid w:val="00781C88"/>
    <w:rsid w:val="00783639"/>
    <w:rsid w:val="00787853"/>
    <w:rsid w:val="00790E55"/>
    <w:rsid w:val="007916C2"/>
    <w:rsid w:val="0079621B"/>
    <w:rsid w:val="00796484"/>
    <w:rsid w:val="007978DE"/>
    <w:rsid w:val="007A436F"/>
    <w:rsid w:val="007A5636"/>
    <w:rsid w:val="007B0DC0"/>
    <w:rsid w:val="007C1804"/>
    <w:rsid w:val="007D32AC"/>
    <w:rsid w:val="007D41DE"/>
    <w:rsid w:val="007D63EE"/>
    <w:rsid w:val="007D642B"/>
    <w:rsid w:val="007D745F"/>
    <w:rsid w:val="007E4858"/>
    <w:rsid w:val="007E4E12"/>
    <w:rsid w:val="007E6C56"/>
    <w:rsid w:val="007F1E48"/>
    <w:rsid w:val="007F3661"/>
    <w:rsid w:val="007F4516"/>
    <w:rsid w:val="00823287"/>
    <w:rsid w:val="0084190D"/>
    <w:rsid w:val="00843B09"/>
    <w:rsid w:val="00845212"/>
    <w:rsid w:val="0085021C"/>
    <w:rsid w:val="00864D64"/>
    <w:rsid w:val="00870E98"/>
    <w:rsid w:val="00872629"/>
    <w:rsid w:val="00876AF8"/>
    <w:rsid w:val="00880899"/>
    <w:rsid w:val="00882364"/>
    <w:rsid w:val="0088739E"/>
    <w:rsid w:val="00892758"/>
    <w:rsid w:val="00893A3C"/>
    <w:rsid w:val="00895614"/>
    <w:rsid w:val="008A45C8"/>
    <w:rsid w:val="008A50B8"/>
    <w:rsid w:val="008A69CB"/>
    <w:rsid w:val="008B1E6B"/>
    <w:rsid w:val="008B69B5"/>
    <w:rsid w:val="008C2704"/>
    <w:rsid w:val="008C53A4"/>
    <w:rsid w:val="008C746B"/>
    <w:rsid w:val="008C7AC2"/>
    <w:rsid w:val="008C7FA9"/>
    <w:rsid w:val="008D6242"/>
    <w:rsid w:val="008D663D"/>
    <w:rsid w:val="008E13B3"/>
    <w:rsid w:val="008E1FB7"/>
    <w:rsid w:val="008E35AD"/>
    <w:rsid w:val="008E4871"/>
    <w:rsid w:val="008F0BF7"/>
    <w:rsid w:val="008F23D4"/>
    <w:rsid w:val="008F27C2"/>
    <w:rsid w:val="009015EE"/>
    <w:rsid w:val="0090458B"/>
    <w:rsid w:val="009139C4"/>
    <w:rsid w:val="00915596"/>
    <w:rsid w:val="009226B4"/>
    <w:rsid w:val="00922B84"/>
    <w:rsid w:val="00922FB9"/>
    <w:rsid w:val="0092615D"/>
    <w:rsid w:val="009334DB"/>
    <w:rsid w:val="0093630D"/>
    <w:rsid w:val="00940F68"/>
    <w:rsid w:val="009558CF"/>
    <w:rsid w:val="009572A6"/>
    <w:rsid w:val="00957DCE"/>
    <w:rsid w:val="00966714"/>
    <w:rsid w:val="00966D99"/>
    <w:rsid w:val="00970A05"/>
    <w:rsid w:val="0097193F"/>
    <w:rsid w:val="009729D6"/>
    <w:rsid w:val="0097310F"/>
    <w:rsid w:val="00975D35"/>
    <w:rsid w:val="00985967"/>
    <w:rsid w:val="009860DD"/>
    <w:rsid w:val="00991FF9"/>
    <w:rsid w:val="009A28B3"/>
    <w:rsid w:val="009B0BA4"/>
    <w:rsid w:val="009C3949"/>
    <w:rsid w:val="009C3EC4"/>
    <w:rsid w:val="009C74EB"/>
    <w:rsid w:val="009D1385"/>
    <w:rsid w:val="009D1AEC"/>
    <w:rsid w:val="009D35DA"/>
    <w:rsid w:val="009D38A6"/>
    <w:rsid w:val="009E15C8"/>
    <w:rsid w:val="009E1F5F"/>
    <w:rsid w:val="009E322E"/>
    <w:rsid w:val="009E510B"/>
    <w:rsid w:val="009E6D8E"/>
    <w:rsid w:val="009E7A65"/>
    <w:rsid w:val="009E7E52"/>
    <w:rsid w:val="009F0010"/>
    <w:rsid w:val="009F1D71"/>
    <w:rsid w:val="00A13FAC"/>
    <w:rsid w:val="00A13FBB"/>
    <w:rsid w:val="00A206BE"/>
    <w:rsid w:val="00A23CD3"/>
    <w:rsid w:val="00A27141"/>
    <w:rsid w:val="00A30C79"/>
    <w:rsid w:val="00A3322E"/>
    <w:rsid w:val="00A332BE"/>
    <w:rsid w:val="00A37D62"/>
    <w:rsid w:val="00A40FAB"/>
    <w:rsid w:val="00A41DAB"/>
    <w:rsid w:val="00A44AF2"/>
    <w:rsid w:val="00A45404"/>
    <w:rsid w:val="00A5320F"/>
    <w:rsid w:val="00A60EBF"/>
    <w:rsid w:val="00A61FA1"/>
    <w:rsid w:val="00A64033"/>
    <w:rsid w:val="00A708CA"/>
    <w:rsid w:val="00A77492"/>
    <w:rsid w:val="00A81EF4"/>
    <w:rsid w:val="00A8299E"/>
    <w:rsid w:val="00A8644B"/>
    <w:rsid w:val="00A9066F"/>
    <w:rsid w:val="00A93C18"/>
    <w:rsid w:val="00AB22B5"/>
    <w:rsid w:val="00AB4369"/>
    <w:rsid w:val="00AB455B"/>
    <w:rsid w:val="00AB789B"/>
    <w:rsid w:val="00AC7867"/>
    <w:rsid w:val="00AD029E"/>
    <w:rsid w:val="00AE5F33"/>
    <w:rsid w:val="00AE6B17"/>
    <w:rsid w:val="00AF0EAB"/>
    <w:rsid w:val="00AF5A1D"/>
    <w:rsid w:val="00AF6A59"/>
    <w:rsid w:val="00B03B04"/>
    <w:rsid w:val="00B11258"/>
    <w:rsid w:val="00B203C7"/>
    <w:rsid w:val="00B23B25"/>
    <w:rsid w:val="00B26DEF"/>
    <w:rsid w:val="00B331C0"/>
    <w:rsid w:val="00B3563E"/>
    <w:rsid w:val="00B35BDA"/>
    <w:rsid w:val="00B3750E"/>
    <w:rsid w:val="00B37680"/>
    <w:rsid w:val="00B517A8"/>
    <w:rsid w:val="00B57E74"/>
    <w:rsid w:val="00B70AA4"/>
    <w:rsid w:val="00B70EA7"/>
    <w:rsid w:val="00B73F4B"/>
    <w:rsid w:val="00B82596"/>
    <w:rsid w:val="00B83106"/>
    <w:rsid w:val="00B85C3D"/>
    <w:rsid w:val="00B86FD3"/>
    <w:rsid w:val="00BA0ABD"/>
    <w:rsid w:val="00BB359E"/>
    <w:rsid w:val="00BB3780"/>
    <w:rsid w:val="00BC081E"/>
    <w:rsid w:val="00BC63D6"/>
    <w:rsid w:val="00BD4095"/>
    <w:rsid w:val="00BD79A2"/>
    <w:rsid w:val="00BE6BFA"/>
    <w:rsid w:val="00BF4AAF"/>
    <w:rsid w:val="00BF5502"/>
    <w:rsid w:val="00BF6340"/>
    <w:rsid w:val="00BF7A00"/>
    <w:rsid w:val="00C06BAC"/>
    <w:rsid w:val="00C10F69"/>
    <w:rsid w:val="00C12574"/>
    <w:rsid w:val="00C12EAA"/>
    <w:rsid w:val="00C14EFE"/>
    <w:rsid w:val="00C21FBC"/>
    <w:rsid w:val="00C22C43"/>
    <w:rsid w:val="00C30589"/>
    <w:rsid w:val="00C318B1"/>
    <w:rsid w:val="00C31B65"/>
    <w:rsid w:val="00C358F2"/>
    <w:rsid w:val="00C4052F"/>
    <w:rsid w:val="00C462BD"/>
    <w:rsid w:val="00C478B2"/>
    <w:rsid w:val="00C47ABA"/>
    <w:rsid w:val="00C47C45"/>
    <w:rsid w:val="00C51F4B"/>
    <w:rsid w:val="00C55BC2"/>
    <w:rsid w:val="00C56260"/>
    <w:rsid w:val="00C56C4D"/>
    <w:rsid w:val="00C619B6"/>
    <w:rsid w:val="00C62A79"/>
    <w:rsid w:val="00C64BDC"/>
    <w:rsid w:val="00C67FF2"/>
    <w:rsid w:val="00C872DD"/>
    <w:rsid w:val="00C9044D"/>
    <w:rsid w:val="00C90DA3"/>
    <w:rsid w:val="00C912C8"/>
    <w:rsid w:val="00C9392E"/>
    <w:rsid w:val="00C97F62"/>
    <w:rsid w:val="00CA0CC6"/>
    <w:rsid w:val="00CA2847"/>
    <w:rsid w:val="00CA4E80"/>
    <w:rsid w:val="00CB497F"/>
    <w:rsid w:val="00CB7047"/>
    <w:rsid w:val="00CC08F2"/>
    <w:rsid w:val="00CD0F37"/>
    <w:rsid w:val="00CE450B"/>
    <w:rsid w:val="00CF0229"/>
    <w:rsid w:val="00CF59B9"/>
    <w:rsid w:val="00CF640A"/>
    <w:rsid w:val="00D04033"/>
    <w:rsid w:val="00D10F08"/>
    <w:rsid w:val="00D1619A"/>
    <w:rsid w:val="00D16E17"/>
    <w:rsid w:val="00D212DC"/>
    <w:rsid w:val="00D229D4"/>
    <w:rsid w:val="00D24E2B"/>
    <w:rsid w:val="00D2526F"/>
    <w:rsid w:val="00D27245"/>
    <w:rsid w:val="00D31394"/>
    <w:rsid w:val="00D35406"/>
    <w:rsid w:val="00D4588A"/>
    <w:rsid w:val="00D47AC8"/>
    <w:rsid w:val="00D524C1"/>
    <w:rsid w:val="00D53725"/>
    <w:rsid w:val="00D5453F"/>
    <w:rsid w:val="00D54FEA"/>
    <w:rsid w:val="00D648AC"/>
    <w:rsid w:val="00D768C2"/>
    <w:rsid w:val="00D8390C"/>
    <w:rsid w:val="00D935B4"/>
    <w:rsid w:val="00DA2A59"/>
    <w:rsid w:val="00DA3BBE"/>
    <w:rsid w:val="00DA683B"/>
    <w:rsid w:val="00DC21AE"/>
    <w:rsid w:val="00DC7E15"/>
    <w:rsid w:val="00DD1946"/>
    <w:rsid w:val="00DD258F"/>
    <w:rsid w:val="00DD2F74"/>
    <w:rsid w:val="00DD741A"/>
    <w:rsid w:val="00DE0D44"/>
    <w:rsid w:val="00DE47A7"/>
    <w:rsid w:val="00DE63C5"/>
    <w:rsid w:val="00DF4C47"/>
    <w:rsid w:val="00DF5565"/>
    <w:rsid w:val="00DF6B52"/>
    <w:rsid w:val="00E0207C"/>
    <w:rsid w:val="00E11118"/>
    <w:rsid w:val="00E12FC9"/>
    <w:rsid w:val="00E224A1"/>
    <w:rsid w:val="00E27197"/>
    <w:rsid w:val="00E30939"/>
    <w:rsid w:val="00E31EF1"/>
    <w:rsid w:val="00E42078"/>
    <w:rsid w:val="00E45336"/>
    <w:rsid w:val="00E47DE7"/>
    <w:rsid w:val="00E52982"/>
    <w:rsid w:val="00E53408"/>
    <w:rsid w:val="00E57243"/>
    <w:rsid w:val="00E60410"/>
    <w:rsid w:val="00E60D85"/>
    <w:rsid w:val="00E6218A"/>
    <w:rsid w:val="00E62366"/>
    <w:rsid w:val="00E6413C"/>
    <w:rsid w:val="00E653EA"/>
    <w:rsid w:val="00E732CA"/>
    <w:rsid w:val="00E73305"/>
    <w:rsid w:val="00E8135F"/>
    <w:rsid w:val="00E82D84"/>
    <w:rsid w:val="00E834DE"/>
    <w:rsid w:val="00E8450B"/>
    <w:rsid w:val="00E846D8"/>
    <w:rsid w:val="00E87A88"/>
    <w:rsid w:val="00E947E9"/>
    <w:rsid w:val="00EA281D"/>
    <w:rsid w:val="00EA2883"/>
    <w:rsid w:val="00EA3256"/>
    <w:rsid w:val="00EB0744"/>
    <w:rsid w:val="00EB4CBF"/>
    <w:rsid w:val="00EB718E"/>
    <w:rsid w:val="00EB7E7F"/>
    <w:rsid w:val="00EC0A9C"/>
    <w:rsid w:val="00EC6CFB"/>
    <w:rsid w:val="00ED0330"/>
    <w:rsid w:val="00ED11E8"/>
    <w:rsid w:val="00ED2C4C"/>
    <w:rsid w:val="00EE1B0B"/>
    <w:rsid w:val="00EE371C"/>
    <w:rsid w:val="00EE75A1"/>
    <w:rsid w:val="00EF4699"/>
    <w:rsid w:val="00F0603D"/>
    <w:rsid w:val="00F123E5"/>
    <w:rsid w:val="00F25818"/>
    <w:rsid w:val="00F315B6"/>
    <w:rsid w:val="00F33477"/>
    <w:rsid w:val="00F336BE"/>
    <w:rsid w:val="00F352B7"/>
    <w:rsid w:val="00F35679"/>
    <w:rsid w:val="00F35D97"/>
    <w:rsid w:val="00F36388"/>
    <w:rsid w:val="00F442B4"/>
    <w:rsid w:val="00F47FB0"/>
    <w:rsid w:val="00F51771"/>
    <w:rsid w:val="00F517DD"/>
    <w:rsid w:val="00F649BD"/>
    <w:rsid w:val="00F6541E"/>
    <w:rsid w:val="00F6588C"/>
    <w:rsid w:val="00F65A66"/>
    <w:rsid w:val="00F66FEB"/>
    <w:rsid w:val="00F67A2C"/>
    <w:rsid w:val="00F71929"/>
    <w:rsid w:val="00F73D57"/>
    <w:rsid w:val="00F7407D"/>
    <w:rsid w:val="00F746C1"/>
    <w:rsid w:val="00F74E06"/>
    <w:rsid w:val="00F75A1F"/>
    <w:rsid w:val="00F761F4"/>
    <w:rsid w:val="00F778C5"/>
    <w:rsid w:val="00F823E4"/>
    <w:rsid w:val="00F826ED"/>
    <w:rsid w:val="00F90BFC"/>
    <w:rsid w:val="00F90E37"/>
    <w:rsid w:val="00F952E5"/>
    <w:rsid w:val="00F97DF8"/>
    <w:rsid w:val="00FA1A15"/>
    <w:rsid w:val="00FA248D"/>
    <w:rsid w:val="00FA2F17"/>
    <w:rsid w:val="00FA4701"/>
    <w:rsid w:val="00FA5B3D"/>
    <w:rsid w:val="00FA65BF"/>
    <w:rsid w:val="00FB235F"/>
    <w:rsid w:val="00FB33EB"/>
    <w:rsid w:val="00FB4605"/>
    <w:rsid w:val="00FC5275"/>
    <w:rsid w:val="00FC7466"/>
    <w:rsid w:val="00FD070C"/>
    <w:rsid w:val="00FD30D3"/>
    <w:rsid w:val="00FD359F"/>
    <w:rsid w:val="00FD4FDD"/>
    <w:rsid w:val="00FD5AB3"/>
    <w:rsid w:val="00FE11A7"/>
    <w:rsid w:val="00FE40FA"/>
    <w:rsid w:val="00FF0939"/>
    <w:rsid w:val="00FF5E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21782"/>
  <w15:chartTrackingRefBased/>
  <w15:docId w15:val="{545FCA6D-34F7-49A3-B71C-2B2E5B86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65F7"/>
    <w:pPr>
      <w:spacing w:before="120" w:after="0" w:line="240" w:lineRule="auto"/>
      <w:jc w:val="both"/>
    </w:pPr>
    <w:rPr>
      <w:rFonts w:eastAsia="Calibri" w:cs="Times New Roman"/>
    </w:rPr>
  </w:style>
  <w:style w:type="paragraph" w:styleId="Kop1">
    <w:name w:val="heading 1"/>
    <w:basedOn w:val="Standaard"/>
    <w:next w:val="Standaard"/>
    <w:link w:val="Kop1Char"/>
    <w:uiPriority w:val="9"/>
    <w:qFormat/>
    <w:rsid w:val="001E18B5"/>
    <w:pPr>
      <w:spacing w:before="360" w:after="120"/>
      <w:outlineLvl w:val="0"/>
    </w:pPr>
    <w:rPr>
      <w:rFonts w:ascii="Calibri" w:hAnsi="Calibri"/>
      <w:b/>
      <w:bCs/>
      <w:color w:val="0A00BE"/>
      <w:sz w:val="36"/>
      <w:szCs w:val="36"/>
      <w:lang w:val="fr-FR"/>
    </w:rPr>
  </w:style>
  <w:style w:type="paragraph" w:styleId="Kop2">
    <w:name w:val="heading 2"/>
    <w:basedOn w:val="Lijstalinea"/>
    <w:next w:val="Standaard"/>
    <w:link w:val="Kop2Char"/>
    <w:uiPriority w:val="9"/>
    <w:unhideWhenUsed/>
    <w:qFormat/>
    <w:rsid w:val="00BC081E"/>
    <w:pPr>
      <w:numPr>
        <w:numId w:val="13"/>
      </w:numPr>
      <w:spacing w:before="240" w:after="240" w:line="276" w:lineRule="auto"/>
      <w:ind w:left="714" w:hanging="357"/>
      <w:contextualSpacing w:val="0"/>
      <w:outlineLvl w:val="1"/>
    </w:pPr>
    <w:rPr>
      <w:rFonts w:ascii="Calibri" w:hAnsi="Calibri"/>
      <w:b/>
      <w:bCs/>
      <w:color w:val="00A797"/>
      <w:sz w:val="32"/>
      <w:szCs w:val="32"/>
    </w:rPr>
  </w:style>
  <w:style w:type="paragraph" w:styleId="Kop3">
    <w:name w:val="heading 3"/>
    <w:basedOn w:val="Lijstalinea"/>
    <w:next w:val="Standaard"/>
    <w:link w:val="Kop3Char"/>
    <w:uiPriority w:val="9"/>
    <w:unhideWhenUsed/>
    <w:qFormat/>
    <w:rsid w:val="009729D6"/>
    <w:pPr>
      <w:numPr>
        <w:ilvl w:val="1"/>
        <w:numId w:val="25"/>
      </w:numPr>
      <w:spacing w:before="240" w:after="120" w:line="276" w:lineRule="auto"/>
      <w:contextualSpacing w:val="0"/>
      <w:outlineLvl w:val="2"/>
    </w:pPr>
    <w:rPr>
      <w:rFonts w:ascii="Calibri" w:hAnsi="Calibri"/>
      <w:b/>
      <w:color w:val="949499"/>
      <w:sz w:val="28"/>
      <w:szCs w:val="28"/>
    </w:rPr>
  </w:style>
  <w:style w:type="paragraph" w:styleId="Kop4">
    <w:name w:val="heading 4"/>
    <w:basedOn w:val="Standaard"/>
    <w:next w:val="Standaard"/>
    <w:link w:val="Kop4Char"/>
    <w:uiPriority w:val="9"/>
    <w:unhideWhenUsed/>
    <w:qFormat/>
    <w:rsid w:val="001E18B5"/>
    <w:pPr>
      <w:keepNext/>
      <w:keepLines/>
      <w:spacing w:before="40"/>
      <w:outlineLvl w:val="3"/>
    </w:pPr>
    <w:rPr>
      <w:rFonts w:asciiTheme="majorHAnsi" w:eastAsiaTheme="majorEastAsia" w:hAnsiTheme="majorHAnsi" w:cstheme="majorBidi"/>
      <w:b/>
      <w:i/>
      <w:iCs/>
      <w:color w:val="94949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18B5"/>
    <w:rPr>
      <w:rFonts w:ascii="Calibri" w:eastAsia="Calibri" w:hAnsi="Calibri" w:cs="Times New Roman"/>
      <w:b/>
      <w:bCs/>
      <w:color w:val="0A00BE"/>
      <w:sz w:val="36"/>
      <w:szCs w:val="36"/>
      <w:lang w:val="fr-FR"/>
    </w:rPr>
  </w:style>
  <w:style w:type="character" w:customStyle="1" w:styleId="Kop2Char">
    <w:name w:val="Kop 2 Char"/>
    <w:basedOn w:val="Standaardalinea-lettertype"/>
    <w:link w:val="Kop2"/>
    <w:uiPriority w:val="9"/>
    <w:rsid w:val="00BC081E"/>
    <w:rPr>
      <w:rFonts w:ascii="Calibri" w:eastAsia="Calibri" w:hAnsi="Calibri" w:cs="Times New Roman"/>
      <w:b/>
      <w:bCs/>
      <w:color w:val="00A797"/>
      <w:sz w:val="32"/>
      <w:szCs w:val="32"/>
    </w:rPr>
  </w:style>
  <w:style w:type="character" w:customStyle="1" w:styleId="Kop3Char">
    <w:name w:val="Kop 3 Char"/>
    <w:basedOn w:val="Standaardalinea-lettertype"/>
    <w:link w:val="Kop3"/>
    <w:uiPriority w:val="9"/>
    <w:rsid w:val="009729D6"/>
    <w:rPr>
      <w:rFonts w:ascii="Calibri" w:eastAsia="Calibri" w:hAnsi="Calibri" w:cs="Times New Roman"/>
      <w:b/>
      <w:color w:val="949499"/>
      <w:sz w:val="28"/>
      <w:szCs w:val="28"/>
    </w:rPr>
  </w:style>
  <w:style w:type="paragraph" w:styleId="Voettekst">
    <w:name w:val="footer"/>
    <w:basedOn w:val="Standaard"/>
    <w:link w:val="VoettekstChar"/>
    <w:uiPriority w:val="99"/>
    <w:unhideWhenUsed/>
    <w:rsid w:val="00155584"/>
    <w:pPr>
      <w:tabs>
        <w:tab w:val="center" w:pos="4536"/>
        <w:tab w:val="right" w:pos="9072"/>
      </w:tabs>
    </w:pPr>
  </w:style>
  <w:style w:type="character" w:customStyle="1" w:styleId="VoettekstChar">
    <w:name w:val="Voettekst Char"/>
    <w:basedOn w:val="Standaardalinea-lettertype"/>
    <w:link w:val="Voettekst"/>
    <w:uiPriority w:val="99"/>
    <w:rsid w:val="00155584"/>
    <w:rPr>
      <w:rFonts w:ascii="Times New Roman" w:eastAsia="Calibri" w:hAnsi="Times New Roman" w:cs="Times New Roman"/>
      <w:sz w:val="24"/>
    </w:rPr>
  </w:style>
  <w:style w:type="table" w:styleId="Tabelraster">
    <w:name w:val="Table Grid"/>
    <w:basedOn w:val="Standaardtabel"/>
    <w:uiPriority w:val="59"/>
    <w:rsid w:val="0015558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55584"/>
    <w:pPr>
      <w:tabs>
        <w:tab w:val="center" w:pos="4536"/>
        <w:tab w:val="right" w:pos="9072"/>
      </w:tabs>
      <w:spacing w:before="0"/>
    </w:pPr>
  </w:style>
  <w:style w:type="character" w:customStyle="1" w:styleId="KoptekstChar">
    <w:name w:val="Koptekst Char"/>
    <w:basedOn w:val="Standaardalinea-lettertype"/>
    <w:link w:val="Koptekst"/>
    <w:uiPriority w:val="99"/>
    <w:rsid w:val="00155584"/>
    <w:rPr>
      <w:rFonts w:ascii="Times New Roman" w:eastAsia="Calibri" w:hAnsi="Times New Roman" w:cs="Times New Roman"/>
      <w:sz w:val="24"/>
    </w:rPr>
  </w:style>
  <w:style w:type="character" w:styleId="Tekstvantijdelijkeaanduiding">
    <w:name w:val="Placeholder Text"/>
    <w:basedOn w:val="Standaardalinea-lettertype"/>
    <w:uiPriority w:val="99"/>
    <w:semiHidden/>
    <w:rsid w:val="00155584"/>
    <w:rPr>
      <w:color w:val="808080"/>
    </w:rPr>
  </w:style>
  <w:style w:type="paragraph" w:styleId="Titel">
    <w:name w:val="Title"/>
    <w:aliases w:val="page de garde - projet d'avis"/>
    <w:basedOn w:val="Standaard"/>
    <w:next w:val="Standaard"/>
    <w:link w:val="TitelChar"/>
    <w:uiPriority w:val="10"/>
    <w:qFormat/>
    <w:rsid w:val="00155584"/>
    <w:pPr>
      <w:tabs>
        <w:tab w:val="left" w:pos="2655"/>
      </w:tabs>
      <w:spacing w:before="3000"/>
      <w:jc w:val="center"/>
    </w:pPr>
    <w:rPr>
      <w:rFonts w:ascii="Calibri" w:eastAsia="Times New Roman" w:hAnsi="Calibri"/>
      <w:b/>
      <w:noProof/>
      <w:color w:val="323E4F" w:themeColor="text2" w:themeShade="BF"/>
      <w:sz w:val="96"/>
      <w:szCs w:val="96"/>
      <w:lang w:eastAsia="nl-NL"/>
    </w:rPr>
  </w:style>
  <w:style w:type="character" w:customStyle="1" w:styleId="TitelChar">
    <w:name w:val="Titel Char"/>
    <w:aliases w:val="page de garde - projet d'avis Char"/>
    <w:basedOn w:val="Standaardalinea-lettertype"/>
    <w:link w:val="Titel"/>
    <w:uiPriority w:val="10"/>
    <w:rsid w:val="00155584"/>
    <w:rPr>
      <w:rFonts w:ascii="Calibri" w:eastAsia="Times New Roman" w:hAnsi="Calibri" w:cs="Times New Roman"/>
      <w:b/>
      <w:noProof/>
      <w:color w:val="323E4F" w:themeColor="text2" w:themeShade="BF"/>
      <w:sz w:val="96"/>
      <w:szCs w:val="96"/>
      <w:lang w:eastAsia="nl-NL"/>
    </w:rPr>
  </w:style>
  <w:style w:type="paragraph" w:styleId="Ondertitel">
    <w:name w:val="Subtitle"/>
    <w:aliases w:val="page de garde - titre avant-projet"/>
    <w:basedOn w:val="Standaard"/>
    <w:next w:val="Standaard"/>
    <w:link w:val="OndertitelChar"/>
    <w:uiPriority w:val="11"/>
    <w:qFormat/>
    <w:rsid w:val="00155584"/>
    <w:pPr>
      <w:spacing w:before="480"/>
      <w:jc w:val="center"/>
      <w:outlineLvl w:val="0"/>
    </w:pPr>
    <w:rPr>
      <w:rFonts w:ascii="Calibri" w:hAnsi="Calibri"/>
      <w:b/>
      <w:color w:val="323E4F" w:themeColor="text2" w:themeShade="BF"/>
      <w:sz w:val="56"/>
      <w:szCs w:val="56"/>
    </w:rPr>
  </w:style>
  <w:style w:type="character" w:customStyle="1" w:styleId="OndertitelChar">
    <w:name w:val="Ondertitel Char"/>
    <w:aliases w:val="page de garde - titre avant-projet Char"/>
    <w:basedOn w:val="Standaardalinea-lettertype"/>
    <w:link w:val="Ondertitel"/>
    <w:uiPriority w:val="11"/>
    <w:rsid w:val="00155584"/>
    <w:rPr>
      <w:rFonts w:ascii="Calibri" w:eastAsia="Calibri" w:hAnsi="Calibri" w:cs="Times New Roman"/>
      <w:b/>
      <w:color w:val="323E4F" w:themeColor="text2" w:themeShade="BF"/>
      <w:sz w:val="56"/>
      <w:szCs w:val="56"/>
    </w:rPr>
  </w:style>
  <w:style w:type="paragraph" w:styleId="Geenafstand">
    <w:name w:val="No Spacing"/>
    <w:aliases w:val="titre tableau saisine"/>
    <w:basedOn w:val="Standaard"/>
    <w:uiPriority w:val="1"/>
    <w:qFormat/>
    <w:rsid w:val="00155584"/>
    <w:pPr>
      <w:spacing w:before="0" w:line="360" w:lineRule="auto"/>
      <w:outlineLvl w:val="0"/>
    </w:pPr>
    <w:rPr>
      <w:rFonts w:ascii="Calibri" w:hAnsi="Calibri"/>
      <w:b/>
      <w:szCs w:val="24"/>
    </w:rPr>
  </w:style>
  <w:style w:type="paragraph" w:styleId="Lijstalinea">
    <w:name w:val="List Paragraph"/>
    <w:basedOn w:val="Standaard"/>
    <w:uiPriority w:val="34"/>
    <w:qFormat/>
    <w:rsid w:val="00155584"/>
    <w:pPr>
      <w:ind w:left="720"/>
      <w:contextualSpacing/>
    </w:pPr>
  </w:style>
  <w:style w:type="character" w:styleId="Regelnummer">
    <w:name w:val="line number"/>
    <w:basedOn w:val="Standaardalinea-lettertype"/>
    <w:uiPriority w:val="99"/>
    <w:semiHidden/>
    <w:unhideWhenUsed/>
    <w:rsid w:val="00155584"/>
  </w:style>
  <w:style w:type="character" w:customStyle="1" w:styleId="Style3">
    <w:name w:val="Style3"/>
    <w:basedOn w:val="Standaardalinea-lettertype"/>
    <w:uiPriority w:val="1"/>
    <w:rsid w:val="00F25818"/>
    <w:rPr>
      <w:rFonts w:asciiTheme="minorHAnsi" w:hAnsiTheme="minorHAnsi"/>
      <w:sz w:val="22"/>
    </w:rPr>
  </w:style>
  <w:style w:type="character" w:customStyle="1" w:styleId="Kop4Char">
    <w:name w:val="Kop 4 Char"/>
    <w:basedOn w:val="Standaardalinea-lettertype"/>
    <w:link w:val="Kop4"/>
    <w:uiPriority w:val="9"/>
    <w:rsid w:val="001E18B5"/>
    <w:rPr>
      <w:rFonts w:asciiTheme="majorHAnsi" w:eastAsiaTheme="majorEastAsia" w:hAnsiTheme="majorHAnsi" w:cstheme="majorBidi"/>
      <w:b/>
      <w:i/>
      <w:iCs/>
      <w:color w:val="949499"/>
      <w:sz w:val="24"/>
    </w:rPr>
  </w:style>
  <w:style w:type="character" w:styleId="Verwijzingopmerking">
    <w:name w:val="annotation reference"/>
    <w:basedOn w:val="Standaardalinea-lettertype"/>
    <w:uiPriority w:val="99"/>
    <w:semiHidden/>
    <w:unhideWhenUsed/>
    <w:rsid w:val="00673ED0"/>
    <w:rPr>
      <w:sz w:val="16"/>
      <w:szCs w:val="16"/>
    </w:rPr>
  </w:style>
  <w:style w:type="paragraph" w:styleId="Tekstopmerking">
    <w:name w:val="annotation text"/>
    <w:basedOn w:val="Standaard"/>
    <w:link w:val="TekstopmerkingChar"/>
    <w:uiPriority w:val="99"/>
    <w:unhideWhenUsed/>
    <w:rsid w:val="00673ED0"/>
    <w:rPr>
      <w:sz w:val="20"/>
      <w:szCs w:val="20"/>
    </w:rPr>
  </w:style>
  <w:style w:type="character" w:customStyle="1" w:styleId="TekstopmerkingChar">
    <w:name w:val="Tekst opmerking Char"/>
    <w:basedOn w:val="Standaardalinea-lettertype"/>
    <w:link w:val="Tekstopmerking"/>
    <w:uiPriority w:val="99"/>
    <w:rsid w:val="00673ED0"/>
    <w:rPr>
      <w:rFonts w:ascii="Times New Roman" w:eastAsia="Calibri"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73ED0"/>
    <w:rPr>
      <w:b/>
      <w:bCs/>
    </w:rPr>
  </w:style>
  <w:style w:type="character" w:customStyle="1" w:styleId="OnderwerpvanopmerkingChar">
    <w:name w:val="Onderwerp van opmerking Char"/>
    <w:basedOn w:val="TekstopmerkingChar"/>
    <w:link w:val="Onderwerpvanopmerking"/>
    <w:uiPriority w:val="99"/>
    <w:semiHidden/>
    <w:rsid w:val="00673ED0"/>
    <w:rPr>
      <w:rFonts w:ascii="Times New Roman" w:eastAsia="Calibri" w:hAnsi="Times New Roman" w:cs="Times New Roman"/>
      <w:b/>
      <w:bCs/>
      <w:sz w:val="20"/>
      <w:szCs w:val="20"/>
    </w:rPr>
  </w:style>
  <w:style w:type="paragraph" w:styleId="Ballontekst">
    <w:name w:val="Balloon Text"/>
    <w:basedOn w:val="Standaard"/>
    <w:link w:val="BallontekstChar"/>
    <w:uiPriority w:val="99"/>
    <w:semiHidden/>
    <w:unhideWhenUsed/>
    <w:rsid w:val="00673ED0"/>
    <w:pPr>
      <w:spacing w:before="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3ED0"/>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304FAD"/>
    <w:pPr>
      <w:spacing w:before="0"/>
    </w:pPr>
    <w:rPr>
      <w:sz w:val="20"/>
      <w:szCs w:val="20"/>
    </w:rPr>
  </w:style>
  <w:style w:type="character" w:customStyle="1" w:styleId="VoetnoottekstChar">
    <w:name w:val="Voetnoottekst Char"/>
    <w:basedOn w:val="Standaardalinea-lettertype"/>
    <w:link w:val="Voetnoottekst"/>
    <w:uiPriority w:val="99"/>
    <w:semiHidden/>
    <w:rsid w:val="00304FAD"/>
    <w:rPr>
      <w:rFonts w:ascii="Times New Roman" w:eastAsia="Calibri" w:hAnsi="Times New Roman" w:cs="Times New Roman"/>
      <w:sz w:val="20"/>
      <w:szCs w:val="20"/>
    </w:rPr>
  </w:style>
  <w:style w:type="character" w:styleId="Voetnootmarkering">
    <w:name w:val="footnote reference"/>
    <w:basedOn w:val="Standaardalinea-lettertype"/>
    <w:uiPriority w:val="99"/>
    <w:semiHidden/>
    <w:unhideWhenUsed/>
    <w:rsid w:val="00304FAD"/>
    <w:rPr>
      <w:vertAlign w:val="superscript"/>
    </w:rPr>
  </w:style>
  <w:style w:type="character" w:styleId="Hyperlink">
    <w:name w:val="Hyperlink"/>
    <w:basedOn w:val="Standaardalinea-lettertype"/>
    <w:uiPriority w:val="99"/>
    <w:unhideWhenUsed/>
    <w:rsid w:val="00304FAD"/>
    <w:rPr>
      <w:color w:val="0563C1" w:themeColor="hyperlink"/>
      <w:u w:val="single"/>
    </w:rPr>
  </w:style>
  <w:style w:type="character" w:styleId="Onopgelostemelding">
    <w:name w:val="Unresolved Mention"/>
    <w:basedOn w:val="Standaardalinea-lettertype"/>
    <w:uiPriority w:val="99"/>
    <w:semiHidden/>
    <w:unhideWhenUsed/>
    <w:rsid w:val="00304FAD"/>
    <w:rPr>
      <w:color w:val="605E5C"/>
      <w:shd w:val="clear" w:color="auto" w:fill="E1DFDD"/>
    </w:rPr>
  </w:style>
  <w:style w:type="character" w:styleId="GevolgdeHyperlink">
    <w:name w:val="FollowedHyperlink"/>
    <w:basedOn w:val="Standaardalinea-lettertype"/>
    <w:uiPriority w:val="99"/>
    <w:semiHidden/>
    <w:unhideWhenUsed/>
    <w:rsid w:val="004A22DE"/>
    <w:rPr>
      <w:color w:val="954F72" w:themeColor="followedHyperlink"/>
      <w:u w:val="single"/>
    </w:rPr>
  </w:style>
  <w:style w:type="paragraph" w:styleId="Revisie">
    <w:name w:val="Revision"/>
    <w:hidden/>
    <w:uiPriority w:val="99"/>
    <w:semiHidden/>
    <w:rsid w:val="00720232"/>
    <w:pPr>
      <w:spacing w:after="0" w:line="240" w:lineRule="auto"/>
    </w:pPr>
    <w:rPr>
      <w:rFonts w:ascii="Times New Roman" w:eastAsia="Calibri" w:hAnsi="Times New Roman" w:cs="Times New Roman"/>
      <w:sz w:val="24"/>
    </w:rPr>
  </w:style>
  <w:style w:type="paragraph" w:styleId="Normaalweb">
    <w:name w:val="Normal (Web)"/>
    <w:basedOn w:val="Standaard"/>
    <w:uiPriority w:val="99"/>
    <w:semiHidden/>
    <w:unhideWhenUsed/>
    <w:rsid w:val="00BB359E"/>
    <w:rPr>
      <w:szCs w:val="24"/>
    </w:rPr>
  </w:style>
  <w:style w:type="paragraph" w:styleId="Lijstnummering">
    <w:name w:val="List Number"/>
    <w:basedOn w:val="Standaard"/>
    <w:unhideWhenUsed/>
    <w:rsid w:val="007722B5"/>
    <w:pPr>
      <w:numPr>
        <w:numId w:val="31"/>
      </w:numPr>
      <w:spacing w:before="0" w:after="160" w:line="259" w:lineRule="auto"/>
      <w:contextualSpacing/>
    </w:pPr>
    <w:rPr>
      <w:rFonts w:eastAsiaTheme="minorHAnsi" w:cstheme="minorBidi"/>
      <w:lang w:val="en-GB"/>
    </w:rPr>
  </w:style>
  <w:style w:type="table" w:styleId="Rastertabel1licht-Accent1">
    <w:name w:val="Grid Table 1 Light Accent 1"/>
    <w:basedOn w:val="Standaardtabel"/>
    <w:uiPriority w:val="46"/>
    <w:rsid w:val="00BC081E"/>
    <w:pPr>
      <w:spacing w:after="0" w:line="240" w:lineRule="auto"/>
    </w:pPr>
    <w:tblPr>
      <w:tblStyleRowBandSize w:val="1"/>
      <w:tblStyleColBandSize w:val="1"/>
      <w:tblBorders>
        <w:top w:val="single" w:sz="4" w:space="0" w:color="857FFF" w:themeColor="accent1" w:themeTint="66"/>
        <w:left w:val="single" w:sz="4" w:space="0" w:color="857FFF" w:themeColor="accent1" w:themeTint="66"/>
        <w:bottom w:val="single" w:sz="4" w:space="0" w:color="857FFF" w:themeColor="accent1" w:themeTint="66"/>
        <w:right w:val="single" w:sz="4" w:space="0" w:color="857FFF" w:themeColor="accent1" w:themeTint="66"/>
        <w:insideH w:val="single" w:sz="4" w:space="0" w:color="857FFF" w:themeColor="accent1" w:themeTint="66"/>
        <w:insideV w:val="single" w:sz="4" w:space="0" w:color="857FFF" w:themeColor="accent1" w:themeTint="66"/>
      </w:tblBorders>
    </w:tblPr>
    <w:tblStylePr w:type="firstRow">
      <w:rPr>
        <w:b/>
        <w:bCs/>
      </w:rPr>
      <w:tblPr/>
      <w:tcPr>
        <w:tcBorders>
          <w:bottom w:val="single" w:sz="12" w:space="0" w:color="483FFF" w:themeColor="accent1" w:themeTint="99"/>
        </w:tcBorders>
      </w:tcPr>
    </w:tblStylePr>
    <w:tblStylePr w:type="lastRow">
      <w:rPr>
        <w:b/>
        <w:bCs/>
      </w:rPr>
      <w:tblPr/>
      <w:tcPr>
        <w:tcBorders>
          <w:top w:val="double" w:sz="2" w:space="0" w:color="483FFF" w:themeColor="accent1" w:themeTint="99"/>
        </w:tcBorders>
      </w:tcPr>
    </w:tblStylePr>
    <w:tblStylePr w:type="firstCol">
      <w:rPr>
        <w:b/>
        <w:bCs/>
      </w:rPr>
    </w:tblStylePr>
    <w:tblStylePr w:type="lastCol">
      <w:rPr>
        <w:b/>
        <w:bCs/>
      </w:rPr>
    </w:tblStylePr>
  </w:style>
  <w:style w:type="character" w:customStyle="1" w:styleId="ui-provider">
    <w:name w:val="ui-provider"/>
    <w:basedOn w:val="Standaardalinea-lettertype"/>
    <w:rsid w:val="00C06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2015">
      <w:bodyDiv w:val="1"/>
      <w:marLeft w:val="0"/>
      <w:marRight w:val="0"/>
      <w:marTop w:val="0"/>
      <w:marBottom w:val="0"/>
      <w:divBdr>
        <w:top w:val="none" w:sz="0" w:space="0" w:color="auto"/>
        <w:left w:val="none" w:sz="0" w:space="0" w:color="auto"/>
        <w:bottom w:val="none" w:sz="0" w:space="0" w:color="auto"/>
        <w:right w:val="none" w:sz="0" w:space="0" w:color="auto"/>
      </w:divBdr>
    </w:div>
    <w:div w:id="243882598">
      <w:bodyDiv w:val="1"/>
      <w:marLeft w:val="0"/>
      <w:marRight w:val="0"/>
      <w:marTop w:val="0"/>
      <w:marBottom w:val="0"/>
      <w:divBdr>
        <w:top w:val="none" w:sz="0" w:space="0" w:color="auto"/>
        <w:left w:val="none" w:sz="0" w:space="0" w:color="auto"/>
        <w:bottom w:val="none" w:sz="0" w:space="0" w:color="auto"/>
        <w:right w:val="none" w:sz="0" w:space="0" w:color="auto"/>
      </w:divBdr>
    </w:div>
    <w:div w:id="398603427">
      <w:bodyDiv w:val="1"/>
      <w:marLeft w:val="0"/>
      <w:marRight w:val="0"/>
      <w:marTop w:val="0"/>
      <w:marBottom w:val="0"/>
      <w:divBdr>
        <w:top w:val="none" w:sz="0" w:space="0" w:color="auto"/>
        <w:left w:val="none" w:sz="0" w:space="0" w:color="auto"/>
        <w:bottom w:val="none" w:sz="0" w:space="0" w:color="auto"/>
        <w:right w:val="none" w:sz="0" w:space="0" w:color="auto"/>
      </w:divBdr>
    </w:div>
    <w:div w:id="523056938">
      <w:bodyDiv w:val="1"/>
      <w:marLeft w:val="0"/>
      <w:marRight w:val="0"/>
      <w:marTop w:val="0"/>
      <w:marBottom w:val="0"/>
      <w:divBdr>
        <w:top w:val="none" w:sz="0" w:space="0" w:color="auto"/>
        <w:left w:val="none" w:sz="0" w:space="0" w:color="auto"/>
        <w:bottom w:val="none" w:sz="0" w:space="0" w:color="auto"/>
        <w:right w:val="none" w:sz="0" w:space="0" w:color="auto"/>
      </w:divBdr>
    </w:div>
    <w:div w:id="655961839">
      <w:bodyDiv w:val="1"/>
      <w:marLeft w:val="0"/>
      <w:marRight w:val="0"/>
      <w:marTop w:val="0"/>
      <w:marBottom w:val="0"/>
      <w:divBdr>
        <w:top w:val="none" w:sz="0" w:space="0" w:color="auto"/>
        <w:left w:val="none" w:sz="0" w:space="0" w:color="auto"/>
        <w:bottom w:val="none" w:sz="0" w:space="0" w:color="auto"/>
        <w:right w:val="none" w:sz="0" w:space="0" w:color="auto"/>
      </w:divBdr>
    </w:div>
    <w:div w:id="671877213">
      <w:bodyDiv w:val="1"/>
      <w:marLeft w:val="0"/>
      <w:marRight w:val="0"/>
      <w:marTop w:val="0"/>
      <w:marBottom w:val="0"/>
      <w:divBdr>
        <w:top w:val="none" w:sz="0" w:space="0" w:color="auto"/>
        <w:left w:val="none" w:sz="0" w:space="0" w:color="auto"/>
        <w:bottom w:val="none" w:sz="0" w:space="0" w:color="auto"/>
        <w:right w:val="none" w:sz="0" w:space="0" w:color="auto"/>
      </w:divBdr>
    </w:div>
    <w:div w:id="826288981">
      <w:bodyDiv w:val="1"/>
      <w:marLeft w:val="0"/>
      <w:marRight w:val="0"/>
      <w:marTop w:val="0"/>
      <w:marBottom w:val="0"/>
      <w:divBdr>
        <w:top w:val="none" w:sz="0" w:space="0" w:color="auto"/>
        <w:left w:val="none" w:sz="0" w:space="0" w:color="auto"/>
        <w:bottom w:val="none" w:sz="0" w:space="0" w:color="auto"/>
        <w:right w:val="none" w:sz="0" w:space="0" w:color="auto"/>
      </w:divBdr>
    </w:div>
    <w:div w:id="871573755">
      <w:bodyDiv w:val="1"/>
      <w:marLeft w:val="0"/>
      <w:marRight w:val="0"/>
      <w:marTop w:val="0"/>
      <w:marBottom w:val="0"/>
      <w:divBdr>
        <w:top w:val="none" w:sz="0" w:space="0" w:color="auto"/>
        <w:left w:val="none" w:sz="0" w:space="0" w:color="auto"/>
        <w:bottom w:val="none" w:sz="0" w:space="0" w:color="auto"/>
        <w:right w:val="none" w:sz="0" w:space="0" w:color="auto"/>
      </w:divBdr>
    </w:div>
    <w:div w:id="879170428">
      <w:bodyDiv w:val="1"/>
      <w:marLeft w:val="0"/>
      <w:marRight w:val="0"/>
      <w:marTop w:val="0"/>
      <w:marBottom w:val="0"/>
      <w:divBdr>
        <w:top w:val="none" w:sz="0" w:space="0" w:color="auto"/>
        <w:left w:val="none" w:sz="0" w:space="0" w:color="auto"/>
        <w:bottom w:val="none" w:sz="0" w:space="0" w:color="auto"/>
        <w:right w:val="none" w:sz="0" w:space="0" w:color="auto"/>
      </w:divBdr>
    </w:div>
    <w:div w:id="946083489">
      <w:bodyDiv w:val="1"/>
      <w:marLeft w:val="0"/>
      <w:marRight w:val="0"/>
      <w:marTop w:val="0"/>
      <w:marBottom w:val="0"/>
      <w:divBdr>
        <w:top w:val="none" w:sz="0" w:space="0" w:color="auto"/>
        <w:left w:val="none" w:sz="0" w:space="0" w:color="auto"/>
        <w:bottom w:val="none" w:sz="0" w:space="0" w:color="auto"/>
        <w:right w:val="none" w:sz="0" w:space="0" w:color="auto"/>
      </w:divBdr>
    </w:div>
    <w:div w:id="953905119">
      <w:bodyDiv w:val="1"/>
      <w:marLeft w:val="0"/>
      <w:marRight w:val="0"/>
      <w:marTop w:val="0"/>
      <w:marBottom w:val="0"/>
      <w:divBdr>
        <w:top w:val="none" w:sz="0" w:space="0" w:color="auto"/>
        <w:left w:val="none" w:sz="0" w:space="0" w:color="auto"/>
        <w:bottom w:val="none" w:sz="0" w:space="0" w:color="auto"/>
        <w:right w:val="none" w:sz="0" w:space="0" w:color="auto"/>
      </w:divBdr>
    </w:div>
    <w:div w:id="1012419924">
      <w:bodyDiv w:val="1"/>
      <w:marLeft w:val="0"/>
      <w:marRight w:val="0"/>
      <w:marTop w:val="0"/>
      <w:marBottom w:val="0"/>
      <w:divBdr>
        <w:top w:val="none" w:sz="0" w:space="0" w:color="auto"/>
        <w:left w:val="none" w:sz="0" w:space="0" w:color="auto"/>
        <w:bottom w:val="none" w:sz="0" w:space="0" w:color="auto"/>
        <w:right w:val="none" w:sz="0" w:space="0" w:color="auto"/>
      </w:divBdr>
    </w:div>
    <w:div w:id="1041514314">
      <w:bodyDiv w:val="1"/>
      <w:marLeft w:val="0"/>
      <w:marRight w:val="0"/>
      <w:marTop w:val="0"/>
      <w:marBottom w:val="0"/>
      <w:divBdr>
        <w:top w:val="none" w:sz="0" w:space="0" w:color="auto"/>
        <w:left w:val="none" w:sz="0" w:space="0" w:color="auto"/>
        <w:bottom w:val="none" w:sz="0" w:space="0" w:color="auto"/>
        <w:right w:val="none" w:sz="0" w:space="0" w:color="auto"/>
      </w:divBdr>
    </w:div>
    <w:div w:id="1051614292">
      <w:bodyDiv w:val="1"/>
      <w:marLeft w:val="0"/>
      <w:marRight w:val="0"/>
      <w:marTop w:val="0"/>
      <w:marBottom w:val="0"/>
      <w:divBdr>
        <w:top w:val="none" w:sz="0" w:space="0" w:color="auto"/>
        <w:left w:val="none" w:sz="0" w:space="0" w:color="auto"/>
        <w:bottom w:val="none" w:sz="0" w:space="0" w:color="auto"/>
        <w:right w:val="none" w:sz="0" w:space="0" w:color="auto"/>
      </w:divBdr>
    </w:div>
    <w:div w:id="1106541531">
      <w:bodyDiv w:val="1"/>
      <w:marLeft w:val="0"/>
      <w:marRight w:val="0"/>
      <w:marTop w:val="0"/>
      <w:marBottom w:val="0"/>
      <w:divBdr>
        <w:top w:val="none" w:sz="0" w:space="0" w:color="auto"/>
        <w:left w:val="none" w:sz="0" w:space="0" w:color="auto"/>
        <w:bottom w:val="none" w:sz="0" w:space="0" w:color="auto"/>
        <w:right w:val="none" w:sz="0" w:space="0" w:color="auto"/>
      </w:divBdr>
    </w:div>
    <w:div w:id="1160191443">
      <w:bodyDiv w:val="1"/>
      <w:marLeft w:val="0"/>
      <w:marRight w:val="0"/>
      <w:marTop w:val="0"/>
      <w:marBottom w:val="0"/>
      <w:divBdr>
        <w:top w:val="none" w:sz="0" w:space="0" w:color="auto"/>
        <w:left w:val="none" w:sz="0" w:space="0" w:color="auto"/>
        <w:bottom w:val="none" w:sz="0" w:space="0" w:color="auto"/>
        <w:right w:val="none" w:sz="0" w:space="0" w:color="auto"/>
      </w:divBdr>
    </w:div>
    <w:div w:id="1169324939">
      <w:bodyDiv w:val="1"/>
      <w:marLeft w:val="0"/>
      <w:marRight w:val="0"/>
      <w:marTop w:val="0"/>
      <w:marBottom w:val="0"/>
      <w:divBdr>
        <w:top w:val="none" w:sz="0" w:space="0" w:color="auto"/>
        <w:left w:val="none" w:sz="0" w:space="0" w:color="auto"/>
        <w:bottom w:val="none" w:sz="0" w:space="0" w:color="auto"/>
        <w:right w:val="none" w:sz="0" w:space="0" w:color="auto"/>
      </w:divBdr>
    </w:div>
    <w:div w:id="1229342524">
      <w:bodyDiv w:val="1"/>
      <w:marLeft w:val="0"/>
      <w:marRight w:val="0"/>
      <w:marTop w:val="0"/>
      <w:marBottom w:val="0"/>
      <w:divBdr>
        <w:top w:val="none" w:sz="0" w:space="0" w:color="auto"/>
        <w:left w:val="none" w:sz="0" w:space="0" w:color="auto"/>
        <w:bottom w:val="none" w:sz="0" w:space="0" w:color="auto"/>
        <w:right w:val="none" w:sz="0" w:space="0" w:color="auto"/>
      </w:divBdr>
    </w:div>
    <w:div w:id="1313677824">
      <w:bodyDiv w:val="1"/>
      <w:marLeft w:val="0"/>
      <w:marRight w:val="0"/>
      <w:marTop w:val="0"/>
      <w:marBottom w:val="0"/>
      <w:divBdr>
        <w:top w:val="none" w:sz="0" w:space="0" w:color="auto"/>
        <w:left w:val="none" w:sz="0" w:space="0" w:color="auto"/>
        <w:bottom w:val="none" w:sz="0" w:space="0" w:color="auto"/>
        <w:right w:val="none" w:sz="0" w:space="0" w:color="auto"/>
      </w:divBdr>
    </w:div>
    <w:div w:id="1400522205">
      <w:bodyDiv w:val="1"/>
      <w:marLeft w:val="0"/>
      <w:marRight w:val="0"/>
      <w:marTop w:val="0"/>
      <w:marBottom w:val="0"/>
      <w:divBdr>
        <w:top w:val="none" w:sz="0" w:space="0" w:color="auto"/>
        <w:left w:val="none" w:sz="0" w:space="0" w:color="auto"/>
        <w:bottom w:val="none" w:sz="0" w:space="0" w:color="auto"/>
        <w:right w:val="none" w:sz="0" w:space="0" w:color="auto"/>
      </w:divBdr>
    </w:div>
    <w:div w:id="1439108629">
      <w:bodyDiv w:val="1"/>
      <w:marLeft w:val="0"/>
      <w:marRight w:val="0"/>
      <w:marTop w:val="0"/>
      <w:marBottom w:val="0"/>
      <w:divBdr>
        <w:top w:val="none" w:sz="0" w:space="0" w:color="auto"/>
        <w:left w:val="none" w:sz="0" w:space="0" w:color="auto"/>
        <w:bottom w:val="none" w:sz="0" w:space="0" w:color="auto"/>
        <w:right w:val="none" w:sz="0" w:space="0" w:color="auto"/>
      </w:divBdr>
    </w:div>
    <w:div w:id="1634171926">
      <w:bodyDiv w:val="1"/>
      <w:marLeft w:val="0"/>
      <w:marRight w:val="0"/>
      <w:marTop w:val="0"/>
      <w:marBottom w:val="0"/>
      <w:divBdr>
        <w:top w:val="none" w:sz="0" w:space="0" w:color="auto"/>
        <w:left w:val="none" w:sz="0" w:space="0" w:color="auto"/>
        <w:bottom w:val="none" w:sz="0" w:space="0" w:color="auto"/>
        <w:right w:val="none" w:sz="0" w:space="0" w:color="auto"/>
      </w:divBdr>
    </w:div>
    <w:div w:id="1647666754">
      <w:bodyDiv w:val="1"/>
      <w:marLeft w:val="0"/>
      <w:marRight w:val="0"/>
      <w:marTop w:val="0"/>
      <w:marBottom w:val="0"/>
      <w:divBdr>
        <w:top w:val="none" w:sz="0" w:space="0" w:color="auto"/>
        <w:left w:val="none" w:sz="0" w:space="0" w:color="auto"/>
        <w:bottom w:val="none" w:sz="0" w:space="0" w:color="auto"/>
        <w:right w:val="none" w:sz="0" w:space="0" w:color="auto"/>
      </w:divBdr>
    </w:div>
    <w:div w:id="1839029281">
      <w:bodyDiv w:val="1"/>
      <w:marLeft w:val="0"/>
      <w:marRight w:val="0"/>
      <w:marTop w:val="0"/>
      <w:marBottom w:val="0"/>
      <w:divBdr>
        <w:top w:val="none" w:sz="0" w:space="0" w:color="auto"/>
        <w:left w:val="none" w:sz="0" w:space="0" w:color="auto"/>
        <w:bottom w:val="none" w:sz="0" w:space="0" w:color="auto"/>
        <w:right w:val="none" w:sz="0" w:space="0" w:color="auto"/>
      </w:divBdr>
    </w:div>
    <w:div w:id="1977762612">
      <w:bodyDiv w:val="1"/>
      <w:marLeft w:val="0"/>
      <w:marRight w:val="0"/>
      <w:marTop w:val="0"/>
      <w:marBottom w:val="0"/>
      <w:divBdr>
        <w:top w:val="none" w:sz="0" w:space="0" w:color="auto"/>
        <w:left w:val="none" w:sz="0" w:space="0" w:color="auto"/>
        <w:bottom w:val="none" w:sz="0" w:space="0" w:color="auto"/>
        <w:right w:val="none" w:sz="0" w:space="0" w:color="auto"/>
      </w:divBdr>
    </w:div>
    <w:div w:id="1993867787">
      <w:bodyDiv w:val="1"/>
      <w:marLeft w:val="0"/>
      <w:marRight w:val="0"/>
      <w:marTop w:val="0"/>
      <w:marBottom w:val="0"/>
      <w:divBdr>
        <w:top w:val="none" w:sz="0" w:space="0" w:color="auto"/>
        <w:left w:val="none" w:sz="0" w:space="0" w:color="auto"/>
        <w:bottom w:val="none" w:sz="0" w:space="0" w:color="auto"/>
        <w:right w:val="none" w:sz="0" w:space="0" w:color="auto"/>
      </w:divBdr>
    </w:div>
    <w:div w:id="2070379007">
      <w:bodyDiv w:val="1"/>
      <w:marLeft w:val="0"/>
      <w:marRight w:val="0"/>
      <w:marTop w:val="0"/>
      <w:marBottom w:val="0"/>
      <w:divBdr>
        <w:top w:val="none" w:sz="0" w:space="0" w:color="auto"/>
        <w:left w:val="none" w:sz="0" w:space="0" w:color="auto"/>
        <w:bottom w:val="none" w:sz="0" w:space="0" w:color="auto"/>
        <w:right w:val="none" w:sz="0" w:space="0" w:color="auto"/>
      </w:divBdr>
    </w:div>
    <w:div w:id="211675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00%20MODELES\BRUPARTNERS\03%20PLEN%20-%20CA%20-%20COM%20-%20GT%20-%20PF\00%20PLEN%20-%20CA%20-%20COM%20-%20GT%20INTERNES\04%20AVIS\Mod&#232;le%20Avis%20d'initiative%20CA%20FR%20D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A4AACD461E47AD84A6BF5974266CFD"/>
        <w:category>
          <w:name w:val="Général"/>
          <w:gallery w:val="placeholder"/>
        </w:category>
        <w:types>
          <w:type w:val="bbPlcHdr"/>
        </w:types>
        <w:behaviors>
          <w:behavior w:val="content"/>
        </w:behaviors>
        <w:guid w:val="{0A9B5768-7AA9-46E8-ABF9-57E304DDF0AE}"/>
      </w:docPartPr>
      <w:docPartBody>
        <w:p w:rsidR="00124461" w:rsidRDefault="00002534" w:rsidP="00002534">
          <w:pPr>
            <w:pStyle w:val="61A4AACD461E47AD84A6BF5974266CFD"/>
          </w:pPr>
          <w:r w:rsidRPr="00A27E9A">
            <w:rPr>
              <w:rStyle w:val="Tekstvantijdelijkeaanduiding"/>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34"/>
    <w:rsid w:val="00002534"/>
    <w:rsid w:val="00124461"/>
    <w:rsid w:val="00404F8E"/>
    <w:rsid w:val="00A27141"/>
    <w:rsid w:val="00C2120C"/>
    <w:rsid w:val="00F55B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2120C"/>
    <w:rPr>
      <w:color w:val="808080"/>
    </w:rPr>
  </w:style>
  <w:style w:type="paragraph" w:customStyle="1" w:styleId="61A4AACD461E47AD84A6BF5974266CFD">
    <w:name w:val="61A4AACD461E47AD84A6BF5974266CFD"/>
    <w:rsid w:val="00002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BRUPARTNERS">
      <a:dk1>
        <a:sysClr val="windowText" lastClr="000000"/>
      </a:dk1>
      <a:lt1>
        <a:sysClr val="window" lastClr="FFFFFF"/>
      </a:lt1>
      <a:dk2>
        <a:srgbClr val="44546A"/>
      </a:dk2>
      <a:lt2>
        <a:srgbClr val="E7E6E6"/>
      </a:lt2>
      <a:accent1>
        <a:srgbClr val="0A00BE"/>
      </a:accent1>
      <a:accent2>
        <a:srgbClr val="00A797"/>
      </a:accent2>
      <a:accent3>
        <a:srgbClr val="949499"/>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160D2-B39E-45B4-80AF-454123DC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Avis d'initiative CA FR DEF</Template>
  <TotalTime>0</TotalTime>
  <Pages>8</Pages>
  <Words>2934</Words>
  <Characters>16143</Characters>
  <Application>Microsoft Office Word</Application>
  <DocSecurity>4</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Alexis</dc:creator>
  <cp:keywords/>
  <dc:description/>
  <cp:lastModifiedBy>Nora De Herdt - Febio vzw</cp:lastModifiedBy>
  <cp:revision>2</cp:revision>
  <cp:lastPrinted>2023-06-01T10:07:00Z</cp:lastPrinted>
  <dcterms:created xsi:type="dcterms:W3CDTF">2024-10-31T06:58:00Z</dcterms:created>
  <dcterms:modified xsi:type="dcterms:W3CDTF">2024-10-31T06:58:00Z</dcterms:modified>
</cp:coreProperties>
</file>